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410"/>
      </w:tblGrid>
      <w:tr w:rsidR="008061E6" w:rsidTr="00117F32">
        <w:tc>
          <w:tcPr>
            <w:tcW w:w="3652" w:type="dxa"/>
            <w:vAlign w:val="center"/>
          </w:tcPr>
          <w:p w:rsidR="008061E6" w:rsidRDefault="008061E6" w:rsidP="00117F32">
            <w:pPr>
              <w:jc w:val="center"/>
            </w:pPr>
            <w:r>
              <w:t>Management Des Organisations</w:t>
            </w:r>
          </w:p>
        </w:tc>
        <w:tc>
          <w:tcPr>
            <w:tcW w:w="6410" w:type="dxa"/>
            <w:vMerge w:val="restart"/>
            <w:vAlign w:val="center"/>
          </w:tcPr>
          <w:p w:rsidR="008061E6" w:rsidRPr="008061E6" w:rsidRDefault="008061E6" w:rsidP="008061E6">
            <w:pPr>
              <w:autoSpaceDE w:val="0"/>
              <w:autoSpaceDN w:val="0"/>
              <w:adjustRightInd w:val="0"/>
              <w:jc w:val="center"/>
              <w:rPr>
                <w:rFonts w:ascii="GuidePedagoNCond" w:hAnsi="GuidePedagoNCond" w:cs="GuidePedagoNCond"/>
                <w:b/>
                <w:sz w:val="28"/>
                <w:szCs w:val="28"/>
              </w:rPr>
            </w:pPr>
            <w:r w:rsidRPr="00AC430E">
              <w:rPr>
                <w:b/>
                <w:sz w:val="28"/>
              </w:rPr>
              <w:t xml:space="preserve">CHAPITRE </w:t>
            </w:r>
            <w:r>
              <w:rPr>
                <w:b/>
                <w:sz w:val="28"/>
              </w:rPr>
              <w:t>2</w:t>
            </w:r>
            <w:r w:rsidRPr="00AC430E">
              <w:rPr>
                <w:b/>
                <w:sz w:val="28"/>
              </w:rPr>
              <w:t xml:space="preserve"> : </w:t>
            </w:r>
            <w:r w:rsidRPr="008061E6">
              <w:rPr>
                <w:rFonts w:ascii="GuidePedagoNCond" w:hAnsi="GuidePedagoNCond" w:cs="GuidePedagoNCond"/>
                <w:b/>
                <w:sz w:val="28"/>
                <w:szCs w:val="28"/>
              </w:rPr>
              <w:t>COMMENT ORIENTER LE MANAGEMENT DES EMPLOIS</w:t>
            </w:r>
            <w:r>
              <w:rPr>
                <w:rFonts w:ascii="GuidePedagoNCond" w:hAnsi="GuidePedagoNCond" w:cs="GuidePedagoNCond"/>
                <w:b/>
                <w:sz w:val="28"/>
                <w:szCs w:val="28"/>
              </w:rPr>
              <w:t xml:space="preserve"> </w:t>
            </w:r>
            <w:r w:rsidRPr="008061E6">
              <w:rPr>
                <w:rFonts w:ascii="GuidePedagoNCond" w:hAnsi="GuidePedagoNCond" w:cs="GuidePedagoNCond"/>
                <w:b/>
                <w:sz w:val="28"/>
                <w:szCs w:val="28"/>
              </w:rPr>
              <w:t>ET DES COMPETENCES SELON LES BESOINS DE L’ORGANISATION ?</w:t>
            </w:r>
          </w:p>
          <w:p w:rsidR="008061E6" w:rsidRPr="00AC430E" w:rsidRDefault="008061E6" w:rsidP="00117F32">
            <w:pPr>
              <w:jc w:val="right"/>
              <w:rPr>
                <w:rFonts w:ascii="Calibri" w:hAnsi="Calibri"/>
                <w:b/>
                <w:sz w:val="28"/>
              </w:rPr>
            </w:pPr>
            <w:r w:rsidRPr="000730E0">
              <w:rPr>
                <w:b/>
                <w:sz w:val="28"/>
                <w:highlight w:val="lightGray"/>
              </w:rPr>
              <w:t>SYNTHÈSE</w:t>
            </w:r>
          </w:p>
        </w:tc>
      </w:tr>
      <w:tr w:rsidR="008061E6" w:rsidTr="00117F32">
        <w:tc>
          <w:tcPr>
            <w:tcW w:w="3652" w:type="dxa"/>
            <w:vAlign w:val="center"/>
          </w:tcPr>
          <w:p w:rsidR="008061E6" w:rsidRPr="00AC430E" w:rsidRDefault="008061E6" w:rsidP="00117F32">
            <w:pPr>
              <w:jc w:val="center"/>
              <w:rPr>
                <w:b/>
              </w:rPr>
            </w:pPr>
            <w:r w:rsidRPr="00AC430E">
              <w:rPr>
                <w:b/>
                <w:sz w:val="24"/>
              </w:rPr>
              <w:t>THÈME 5 : LE MANAGEMENT STRATÉGIQUE : LES CHOIX EN MATIÈRE D’ANIMATION T DE MOBILISATION DES HOMMES</w:t>
            </w:r>
          </w:p>
        </w:tc>
        <w:tc>
          <w:tcPr>
            <w:tcW w:w="6410" w:type="dxa"/>
            <w:vMerge/>
            <w:vAlign w:val="center"/>
          </w:tcPr>
          <w:p w:rsidR="008061E6" w:rsidRDefault="008061E6" w:rsidP="00117F32">
            <w:pPr>
              <w:jc w:val="center"/>
            </w:pPr>
          </w:p>
        </w:tc>
      </w:tr>
    </w:tbl>
    <w:p w:rsidR="008061E6" w:rsidRDefault="008061E6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7"/>
          <w:szCs w:val="27"/>
        </w:rPr>
      </w:pPr>
    </w:p>
    <w:p w:rsidR="006033C1" w:rsidRPr="008061E6" w:rsidRDefault="008061E6" w:rsidP="008061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-Bold"/>
          <w:b/>
          <w:bCs/>
          <w:sz w:val="28"/>
          <w:szCs w:val="24"/>
          <w:u w:val="single"/>
        </w:rPr>
      </w:pPr>
      <w:r w:rsidRPr="008061E6">
        <w:rPr>
          <w:rFonts w:cs="GuidePedagoNCond-Bold"/>
          <w:b/>
          <w:bCs/>
          <w:sz w:val="28"/>
          <w:szCs w:val="24"/>
          <w:u w:val="single"/>
        </w:rPr>
        <w:t>ADAPTER LES EMPLOIS ET LES COMPETENCES AUX CHOIX STRATEGIQUES DES ORGANISATIONS</w:t>
      </w:r>
    </w:p>
    <w:p w:rsidR="008061E6" w:rsidRPr="008061E6" w:rsidRDefault="008061E6" w:rsidP="008061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uidePedagoNCond-Bold"/>
          <w:b/>
          <w:bCs/>
          <w:sz w:val="28"/>
          <w:szCs w:val="24"/>
          <w:u w:val="single"/>
        </w:rPr>
      </w:pPr>
    </w:p>
    <w:p w:rsidR="006033C1" w:rsidRPr="008061E6" w:rsidRDefault="006033C1" w:rsidP="008061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"/>
          <w:b/>
          <w:sz w:val="24"/>
          <w:szCs w:val="24"/>
          <w:u w:val="single"/>
        </w:rPr>
      </w:pPr>
      <w:r w:rsidRPr="008061E6">
        <w:rPr>
          <w:rFonts w:cs="GuidePedagoNCond"/>
          <w:b/>
          <w:sz w:val="24"/>
          <w:szCs w:val="24"/>
          <w:u w:val="single"/>
        </w:rPr>
        <w:t>Quels sont les enjeux de la gestion stratégique des emplois et des</w:t>
      </w:r>
      <w:r w:rsidR="008061E6" w:rsidRPr="008061E6">
        <w:rPr>
          <w:rFonts w:cs="GuidePedagoNCond"/>
          <w:b/>
          <w:sz w:val="24"/>
          <w:szCs w:val="24"/>
          <w:u w:val="single"/>
        </w:rPr>
        <w:t xml:space="preserve"> </w:t>
      </w:r>
      <w:r w:rsidRPr="008061E6">
        <w:rPr>
          <w:rFonts w:cs="GuidePedagoNCond"/>
          <w:b/>
          <w:sz w:val="24"/>
          <w:szCs w:val="24"/>
          <w:u w:val="single"/>
        </w:rPr>
        <w:t>compétences ?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La gestion prévisionnelle des emplois et des compétences (GPEC) est une gestion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anticipative et préventive des ressources humaines en fonction des contraintes de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l’environnement et des choix stratégiques d’une organisation.</w:t>
      </w:r>
    </w:p>
    <w:p w:rsidR="008061E6" w:rsidRPr="00870CBA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Le dispositif de la GPEC comporte trois éléments clés : anticiper, analyser et ajuster.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••</w:t>
      </w:r>
      <w:r w:rsidRPr="00870CBA">
        <w:rPr>
          <w:rFonts w:cs="GuidePedagoTimes-Bold"/>
          <w:b/>
          <w:bCs/>
          <w:szCs w:val="24"/>
        </w:rPr>
        <w:t xml:space="preserve">Anticiper : </w:t>
      </w:r>
      <w:r w:rsidRPr="00870CBA">
        <w:rPr>
          <w:rFonts w:cs="GuidePedagoTimes"/>
          <w:szCs w:val="24"/>
        </w:rPr>
        <w:t>l’organisation doit détecter ses besoins futurs en compétences, emplois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et effectifs, en fonction de ses choix stratégiques et de son environnement.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••</w:t>
      </w:r>
      <w:r w:rsidRPr="00870CBA">
        <w:rPr>
          <w:rFonts w:cs="GuidePedagoTimes-Bold"/>
          <w:b/>
          <w:bCs/>
          <w:szCs w:val="24"/>
        </w:rPr>
        <w:t xml:space="preserve">Analyser : </w:t>
      </w:r>
      <w:r w:rsidRPr="00870CBA">
        <w:rPr>
          <w:rFonts w:cs="GuidePedagoTimes"/>
          <w:szCs w:val="24"/>
        </w:rPr>
        <w:t>l’organisation doit établir une photographie des ressources humaines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actuelles en compétences, emplois et effectifs.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••</w:t>
      </w:r>
      <w:r w:rsidRPr="00870CBA">
        <w:rPr>
          <w:rFonts w:cs="GuidePedagoTimes-Bold"/>
          <w:b/>
          <w:bCs/>
          <w:szCs w:val="24"/>
        </w:rPr>
        <w:t xml:space="preserve">Ajuster : </w:t>
      </w:r>
      <w:r w:rsidRPr="00870CBA">
        <w:rPr>
          <w:rFonts w:cs="GuidePedagoTimes"/>
          <w:szCs w:val="24"/>
        </w:rPr>
        <w:t>l’organisation doit ajuster son besoin en personnel en fonction de ses ressources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humaines d’aujourd’hui et de ses besoins de demain.</w:t>
      </w:r>
    </w:p>
    <w:p w:rsidR="008061E6" w:rsidRPr="00870CBA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Pour une organisation, la GPEC permet d’anticiper les besoins futurs en faisant un état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des lieux de ses ressources humaines disponibles. En comparant les besoins de demain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et les ressources humaines d’aujourd’hui, elle ajuste les écarts en mettant en place des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actions correctrices (formation, surtout lorsqu’il s’agit de remplacer les profils pointus).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Elle pourra être plus réactive dans un environnement en perpétuelle évolution.</w:t>
      </w:r>
    </w:p>
    <w:p w:rsidR="008061E6" w:rsidRP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 w:val="24"/>
          <w:szCs w:val="24"/>
        </w:rPr>
      </w:pPr>
    </w:p>
    <w:p w:rsidR="006033C1" w:rsidRPr="008061E6" w:rsidRDefault="006033C1" w:rsidP="008061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"/>
          <w:b/>
          <w:sz w:val="24"/>
          <w:szCs w:val="24"/>
          <w:u w:val="single"/>
        </w:rPr>
      </w:pPr>
      <w:r w:rsidRPr="008061E6">
        <w:rPr>
          <w:rFonts w:cs="GuidePedagoNCond"/>
          <w:b/>
          <w:sz w:val="24"/>
          <w:szCs w:val="24"/>
          <w:u w:val="single"/>
        </w:rPr>
        <w:t xml:space="preserve">Comment la mettre en </w:t>
      </w:r>
      <w:proofErr w:type="spellStart"/>
      <w:r w:rsidRPr="008061E6">
        <w:rPr>
          <w:rFonts w:cs="GuidePedagoNCond"/>
          <w:b/>
          <w:sz w:val="24"/>
          <w:szCs w:val="24"/>
          <w:u w:val="single"/>
        </w:rPr>
        <w:t>oeuvre</w:t>
      </w:r>
      <w:proofErr w:type="spellEnd"/>
      <w:r w:rsidRPr="008061E6">
        <w:rPr>
          <w:rFonts w:cs="GuidePedagoNCond"/>
          <w:b/>
          <w:sz w:val="24"/>
          <w:szCs w:val="24"/>
          <w:u w:val="single"/>
        </w:rPr>
        <w:t xml:space="preserve"> ?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Pour satisfaire ses futurs besoins en ressources humaines déterminés dans le cadre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d’une gestion prévisionnelle des emplois et des compétences, une organisation procède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à des choix d’actions </w:t>
      </w:r>
      <w:r w:rsidRPr="001838F9">
        <w:rPr>
          <w:rFonts w:cs="GuidePedagoTimes"/>
          <w:szCs w:val="24"/>
          <w:highlight w:val="yellow"/>
        </w:rPr>
        <w:t>: formation et développement des compétences, mobilité,</w:t>
      </w:r>
      <w:r w:rsidR="008061E6" w:rsidRPr="001838F9">
        <w:rPr>
          <w:rFonts w:cs="GuidePedagoTimes"/>
          <w:szCs w:val="24"/>
          <w:highlight w:val="yellow"/>
        </w:rPr>
        <w:t xml:space="preserve"> </w:t>
      </w:r>
      <w:r w:rsidRPr="001838F9">
        <w:rPr>
          <w:rFonts w:cs="GuidePedagoTimes"/>
          <w:szCs w:val="24"/>
          <w:highlight w:val="yellow"/>
        </w:rPr>
        <w:t>recrutements en interne ou en externe, reclassements, licenciements.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Pour le salarié, la gestion prévisionnelle des emplois et des compétences présente une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opportunité car elle lui permet de maintenir son employabilité par le développement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de ses compétences. Ainsi, l’acquisition de nouvelles compétences lui permettra de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faire face aux évolutions de l’environnement et à celles de son métier.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Pour élaborer une gestion prévisionnelle des emplois et des compétences, il faut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disposer de données fiables sur l’environnement économique, social et commercial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d’une organisation dans un horizon temporel plus ou moins lointain. Or l’instabilité et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l’incertitude de l’environnement en raison de la crise économique actuelle et de son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évolution montrent la difficulté de se procurer de telles données. S’il est relativement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facile pour une organisation d’anticiper en période stable, en s’appuyant sur des tendances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lourdes, c’est beaucoup plus difficile en période de fortes turbulences.</w:t>
      </w:r>
    </w:p>
    <w:p w:rsidR="006033C1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Arial"/>
          <w:sz w:val="24"/>
          <w:szCs w:val="24"/>
        </w:rPr>
      </w:pPr>
    </w:p>
    <w:p w:rsidR="006033C1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NCond-Bold"/>
          <w:b/>
          <w:bCs/>
          <w:sz w:val="28"/>
          <w:szCs w:val="24"/>
          <w:u w:val="single"/>
        </w:rPr>
      </w:pPr>
      <w:r w:rsidRPr="008061E6">
        <w:rPr>
          <w:rFonts w:cs="GuidePedagoNCond-Bold"/>
          <w:b/>
          <w:bCs/>
          <w:sz w:val="28"/>
          <w:szCs w:val="24"/>
          <w:u w:val="single"/>
        </w:rPr>
        <w:t>II. GERER LA FLEXIBILITE POUR REPONDRE AUX EVOLUTIONS</w:t>
      </w:r>
      <w:r>
        <w:rPr>
          <w:rFonts w:cs="GuidePedagoNCond-Bold"/>
          <w:b/>
          <w:bCs/>
          <w:sz w:val="28"/>
          <w:szCs w:val="24"/>
          <w:u w:val="single"/>
        </w:rPr>
        <w:t xml:space="preserve"> </w:t>
      </w:r>
      <w:r w:rsidRPr="008061E6">
        <w:rPr>
          <w:rFonts w:cs="GuidePedagoNCond-Bold"/>
          <w:b/>
          <w:bCs/>
          <w:sz w:val="28"/>
          <w:szCs w:val="24"/>
          <w:u w:val="single"/>
        </w:rPr>
        <w:t>DE SON ENVIRONNEMENT</w:t>
      </w:r>
    </w:p>
    <w:p w:rsidR="008061E6" w:rsidRP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NCond-Bold"/>
          <w:b/>
          <w:bCs/>
          <w:sz w:val="28"/>
          <w:szCs w:val="24"/>
          <w:u w:val="single"/>
        </w:rPr>
      </w:pPr>
    </w:p>
    <w:p w:rsidR="006033C1" w:rsidRPr="008061E6" w:rsidRDefault="006033C1" w:rsidP="008061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"/>
          <w:b/>
          <w:sz w:val="24"/>
          <w:szCs w:val="24"/>
          <w:u w:val="single"/>
        </w:rPr>
      </w:pPr>
      <w:r w:rsidRPr="008061E6">
        <w:rPr>
          <w:rFonts w:cs="GuidePedagoNCond"/>
          <w:b/>
          <w:sz w:val="24"/>
          <w:szCs w:val="24"/>
          <w:u w:val="single"/>
        </w:rPr>
        <w:t>Qu’est-ce que la flexibilité ?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1838F9">
        <w:rPr>
          <w:rFonts w:cs="GuidePedagoTimes"/>
          <w:sz w:val="24"/>
          <w:szCs w:val="24"/>
          <w:highlight w:val="yellow"/>
        </w:rPr>
        <w:t>La flexibilité se définit comme l’aptitude d’une organisation à s’adapter par anticipation</w:t>
      </w:r>
      <w:r w:rsidR="008061E6" w:rsidRPr="001838F9">
        <w:rPr>
          <w:rFonts w:cs="GuidePedagoTimes"/>
          <w:sz w:val="24"/>
          <w:szCs w:val="24"/>
          <w:highlight w:val="yellow"/>
        </w:rPr>
        <w:t xml:space="preserve"> </w:t>
      </w:r>
      <w:r w:rsidRPr="001838F9">
        <w:rPr>
          <w:rFonts w:cs="GuidePedagoTimes"/>
          <w:sz w:val="24"/>
          <w:szCs w:val="24"/>
          <w:highlight w:val="yellow"/>
        </w:rPr>
        <w:t>aux changements de son environnement.</w:t>
      </w:r>
      <w:r w:rsidRPr="008061E6">
        <w:rPr>
          <w:rFonts w:cs="GuidePedagoTimes"/>
          <w:sz w:val="24"/>
          <w:szCs w:val="24"/>
        </w:rPr>
        <w:t xml:space="preserve"> Cette capacité concerne tout particulièrement</w:t>
      </w:r>
      <w:r w:rsidR="008061E6">
        <w:rPr>
          <w:rFonts w:cs="GuidePedagoTimes"/>
          <w:sz w:val="24"/>
          <w:szCs w:val="24"/>
        </w:rPr>
        <w:t xml:space="preserve"> </w:t>
      </w:r>
      <w:r w:rsidRPr="008061E6">
        <w:rPr>
          <w:rFonts w:cs="GuidePedagoTimes"/>
          <w:sz w:val="24"/>
          <w:szCs w:val="24"/>
        </w:rPr>
        <w:t xml:space="preserve">l’adaptation aux </w:t>
      </w:r>
      <w:r w:rsidRPr="00870CBA">
        <w:rPr>
          <w:rFonts w:cs="GuidePedagoTimes"/>
          <w:szCs w:val="24"/>
        </w:rPr>
        <w:t xml:space="preserve">fluctuations de la </w:t>
      </w:r>
      <w:r w:rsidRPr="001838F9">
        <w:rPr>
          <w:rFonts w:cs="GuidePedagoTimes"/>
          <w:szCs w:val="24"/>
          <w:highlight w:val="yellow"/>
        </w:rPr>
        <w:t>demande dans le temps, en volume et en</w:t>
      </w:r>
      <w:r w:rsidR="008061E6" w:rsidRPr="001838F9">
        <w:rPr>
          <w:rFonts w:cs="GuidePedagoTimes"/>
          <w:szCs w:val="24"/>
          <w:highlight w:val="yellow"/>
        </w:rPr>
        <w:t xml:space="preserve"> </w:t>
      </w:r>
      <w:r w:rsidRPr="001838F9">
        <w:rPr>
          <w:rFonts w:cs="GuidePedagoTimes"/>
          <w:szCs w:val="24"/>
          <w:highlight w:val="yellow"/>
        </w:rPr>
        <w:t>qualité</w:t>
      </w:r>
      <w:r w:rsidRPr="00870CBA">
        <w:rPr>
          <w:rFonts w:cs="GuidePedagoTimes"/>
          <w:szCs w:val="24"/>
        </w:rPr>
        <w:t>. La flexibilité touche principalement la fonction de production, et ses répercussions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les plus difficiles à gérer concernent la gestion du personnel.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lastRenderedPageBreak/>
        <w:t>Le développement de la flexibilité de l’emploi a donné aux entreprises la souplesse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indispensable pour affronter un environnement instable et répondre aux demandes de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clients de plus en plus exigeants.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La flexibilité se caractérise d’abord par une nette préférence pour les mécanismes de</w:t>
      </w:r>
      <w:r w:rsidR="008061E6" w:rsidRPr="00870CBA">
        <w:rPr>
          <w:rFonts w:cs="GuidePedagoTimes"/>
          <w:szCs w:val="24"/>
        </w:rPr>
        <w:t xml:space="preserve"> </w:t>
      </w:r>
      <w:r w:rsidRPr="008D793F">
        <w:rPr>
          <w:rFonts w:cs="GuidePedagoTimes"/>
          <w:szCs w:val="24"/>
          <w:highlight w:val="yellow"/>
        </w:rPr>
        <w:t xml:space="preserve">flexibilité externe (recours aux CDD, à l’intérim, à la sous-traitance, </w:t>
      </w:r>
      <w:r w:rsidRPr="008D793F">
        <w:rPr>
          <w:rFonts w:cs="GuidePedagoTimes"/>
          <w:strike/>
          <w:szCs w:val="24"/>
          <w:highlight w:val="yellow"/>
        </w:rPr>
        <w:t>à l’exclusion des</w:t>
      </w:r>
      <w:r w:rsidR="008061E6" w:rsidRPr="008D793F">
        <w:rPr>
          <w:rFonts w:cs="GuidePedagoTimes"/>
          <w:strike/>
          <w:szCs w:val="24"/>
          <w:highlight w:val="yellow"/>
        </w:rPr>
        <w:t xml:space="preserve"> </w:t>
      </w:r>
      <w:r w:rsidRPr="008D793F">
        <w:rPr>
          <w:rFonts w:cs="GuidePedagoTimes"/>
          <w:strike/>
          <w:szCs w:val="24"/>
          <w:highlight w:val="yellow"/>
        </w:rPr>
        <w:t>licenciements des permanents</w:t>
      </w:r>
      <w:r w:rsidRPr="008D793F">
        <w:rPr>
          <w:rFonts w:cs="GuidePedagoTimes"/>
          <w:szCs w:val="24"/>
          <w:highlight w:val="yellow"/>
        </w:rPr>
        <w:t>)</w:t>
      </w:r>
      <w:r w:rsidRPr="00870CBA">
        <w:rPr>
          <w:rFonts w:cs="GuidePedagoTimes"/>
          <w:szCs w:val="24"/>
        </w:rPr>
        <w:t xml:space="preserve"> sur les dispositifs de </w:t>
      </w:r>
      <w:r w:rsidRPr="008D793F">
        <w:rPr>
          <w:rFonts w:cs="GuidePedagoTimes"/>
          <w:szCs w:val="24"/>
          <w:highlight w:val="yellow"/>
        </w:rPr>
        <w:t>flexibilité interne (polyvalence,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annualisation du temps de travail, chômage partiel</w:t>
      </w:r>
      <w:r w:rsidRPr="00870CBA">
        <w:rPr>
          <w:rFonts w:cs="GuidePedagoTimes"/>
          <w:szCs w:val="24"/>
        </w:rPr>
        <w:t>). Les organisations préfèrent se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séparer de leurs salariés intérimaires puis de ceux titulaires d’un CDD (contrat à durée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déterminée) Ainsi, elles préservent les emplois de leurs salariés en CDI (contrat à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durée indéterminée).</w:t>
      </w:r>
    </w:p>
    <w:p w:rsidR="008061E6" w:rsidRP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 w:val="24"/>
          <w:szCs w:val="24"/>
        </w:rPr>
      </w:pPr>
    </w:p>
    <w:p w:rsidR="006033C1" w:rsidRPr="008061E6" w:rsidRDefault="008061E6" w:rsidP="008061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"/>
          <w:b/>
          <w:sz w:val="24"/>
          <w:szCs w:val="24"/>
          <w:u w:val="single"/>
        </w:rPr>
      </w:pPr>
      <w:r w:rsidRPr="008061E6">
        <w:rPr>
          <w:rFonts w:cs="GuidePedagoNCond"/>
          <w:b/>
          <w:sz w:val="24"/>
          <w:szCs w:val="24"/>
          <w:u w:val="single"/>
        </w:rPr>
        <w:t>U</w:t>
      </w:r>
      <w:r w:rsidR="006033C1" w:rsidRPr="008061E6">
        <w:rPr>
          <w:rFonts w:cs="GuidePedagoNCond"/>
          <w:b/>
          <w:sz w:val="24"/>
          <w:szCs w:val="24"/>
          <w:u w:val="single"/>
        </w:rPr>
        <w:t>ne flexibilité qualitative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Il existe une flexibilité qualitative interne et une flexibilité qualitative externe.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La flexibilité qualitative interne se traduit par la </w:t>
      </w:r>
      <w:r w:rsidRPr="008D793F">
        <w:rPr>
          <w:rFonts w:cs="GuidePedagoTimes"/>
          <w:szCs w:val="24"/>
          <w:highlight w:val="yellow"/>
        </w:rPr>
        <w:t>polyvalence du personnel</w:t>
      </w:r>
      <w:r w:rsidRPr="00870CBA">
        <w:rPr>
          <w:rFonts w:cs="GuidePedagoTimes"/>
          <w:szCs w:val="24"/>
        </w:rPr>
        <w:t>. Lorsque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l’organisation a recours à la </w:t>
      </w:r>
      <w:r w:rsidRPr="008D793F">
        <w:rPr>
          <w:rFonts w:cs="GuidePedagoTimes"/>
          <w:szCs w:val="24"/>
          <w:highlight w:val="yellow"/>
        </w:rPr>
        <w:t>sous-traitance</w:t>
      </w:r>
      <w:r w:rsidRPr="00870CBA">
        <w:rPr>
          <w:rFonts w:cs="GuidePedagoTimes"/>
          <w:szCs w:val="24"/>
        </w:rPr>
        <w:t>, il s’agit de la flexibilité qualitative externe.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Selon une étude récente, la flexibilité au travail a des conséquences positives.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Pour une organisation, c’est l’augmentation de la productivité et du chiffre d’affaires,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c’est aussi la fidélisation des salariés.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Les employés bénéficiant de modes de travail flexibles avouent se sentir en meilleure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santé, plus stimulés et plus motivés, ce qui, par conséquent, signifie qu’ils sont plus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satisfaits dans leur travail, plus fidèles et moins susceptibles de démissionner.</w:t>
      </w:r>
    </w:p>
    <w:p w:rsidR="008061E6" w:rsidRP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 w:val="24"/>
          <w:szCs w:val="24"/>
        </w:rPr>
      </w:pPr>
    </w:p>
    <w:p w:rsidR="006033C1" w:rsidRDefault="008061E6" w:rsidP="008061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"/>
          <w:b/>
          <w:sz w:val="24"/>
          <w:szCs w:val="24"/>
          <w:u w:val="single"/>
        </w:rPr>
      </w:pPr>
      <w:r w:rsidRPr="008061E6">
        <w:rPr>
          <w:rFonts w:cs="GuidePedagoNCond"/>
          <w:b/>
          <w:sz w:val="24"/>
          <w:szCs w:val="24"/>
          <w:u w:val="single"/>
        </w:rPr>
        <w:t>U</w:t>
      </w:r>
      <w:r w:rsidR="006033C1" w:rsidRPr="008061E6">
        <w:rPr>
          <w:rFonts w:cs="GuidePedagoNCond"/>
          <w:b/>
          <w:sz w:val="24"/>
          <w:szCs w:val="24"/>
          <w:u w:val="single"/>
        </w:rPr>
        <w:t>ne flexibilité quantitative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Il existe une flexibilité quantitative interne et une flexibilité quantitative externe.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La flexibilité quantitative interne des ressources humaines se traduit par </w:t>
      </w:r>
      <w:r w:rsidRPr="008D793F">
        <w:rPr>
          <w:rFonts w:cs="GuidePedagoTimes"/>
          <w:szCs w:val="24"/>
          <w:highlight w:val="yellow"/>
        </w:rPr>
        <w:t>l’annualisation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du temps de travail, le chômage partiel, de la mobilité, une équipe flexible…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La flexibilité quantitative externe des ressources humaines </w:t>
      </w:r>
      <w:r w:rsidRPr="008D793F">
        <w:rPr>
          <w:rFonts w:cs="GuidePedagoTimes"/>
          <w:szCs w:val="24"/>
          <w:highlight w:val="yellow"/>
        </w:rPr>
        <w:t>se traduit par le recours aux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contrats à durée déterminée (CDD), aux contrats de travail temporaire (intérim)…</w:t>
      </w:r>
    </w:p>
    <w:p w:rsid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NCond-Bold"/>
          <w:b/>
          <w:bCs/>
          <w:sz w:val="24"/>
          <w:szCs w:val="24"/>
        </w:rPr>
      </w:pPr>
    </w:p>
    <w:p w:rsidR="006033C1" w:rsidRP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NCond-Bold"/>
          <w:b/>
          <w:bCs/>
          <w:sz w:val="28"/>
          <w:szCs w:val="28"/>
          <w:u w:val="single"/>
        </w:rPr>
      </w:pPr>
      <w:r w:rsidRPr="008061E6">
        <w:rPr>
          <w:rFonts w:cs="GuidePedagoNCond-Bold"/>
          <w:b/>
          <w:bCs/>
          <w:sz w:val="28"/>
          <w:szCs w:val="28"/>
          <w:u w:val="single"/>
        </w:rPr>
        <w:t>III. PRENDRE EN COMPTE LA RESPONSABILITE SOCIALE DE L’ORGANISATION</w:t>
      </w:r>
    </w:p>
    <w:p w:rsid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NCond-Bold"/>
          <w:b/>
          <w:bCs/>
          <w:sz w:val="24"/>
          <w:szCs w:val="24"/>
        </w:rPr>
      </w:pPr>
    </w:p>
    <w:p w:rsidR="006033C1" w:rsidRPr="008061E6" w:rsidRDefault="006033C1" w:rsidP="008061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"/>
          <w:b/>
          <w:sz w:val="24"/>
          <w:szCs w:val="24"/>
          <w:u w:val="single"/>
        </w:rPr>
      </w:pPr>
      <w:r w:rsidRPr="008061E6">
        <w:rPr>
          <w:rFonts w:cs="GuidePedagoNCond"/>
          <w:b/>
          <w:sz w:val="24"/>
          <w:szCs w:val="24"/>
          <w:u w:val="single"/>
        </w:rPr>
        <w:t>Quels sont les enjeux de la responsabilité sociale ?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 xml:space="preserve">La responsabilité sociale se définit comme </w:t>
      </w:r>
      <w:r w:rsidRPr="008D793F">
        <w:rPr>
          <w:rFonts w:cs="GuidePedagoTimes"/>
          <w:szCs w:val="24"/>
          <w:highlight w:val="yellow"/>
        </w:rPr>
        <w:t>la responsabilité des organisations vis-à-vis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des effets qu’elles exercent sur la société. Elle repose sur trois piliers : économique,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environnemental et social.</w:t>
      </w:r>
      <w:r w:rsidRPr="00870CBA">
        <w:rPr>
          <w:rFonts w:cs="GuidePedagoTimes"/>
          <w:szCs w:val="24"/>
        </w:rPr>
        <w:t xml:space="preserve"> C’est un processus destiné à intégrer les préoccupations en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matière sociale, environnementale, éthique, de droits de l’homme et des consommateurs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dans leurs activités commerciales et leur stratégie de base [menée] en collaboration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étroite avec leurs parties prenantes [tout en] respectant la législation en vigueur et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les conventions collectives conclues entre partenaires sociaux.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 xml:space="preserve">La responsabilité sociale permet à une organisation </w:t>
      </w:r>
      <w:r w:rsidRPr="008D793F">
        <w:rPr>
          <w:rFonts w:cs="GuidePedagoTimes"/>
          <w:szCs w:val="24"/>
          <w:highlight w:val="yellow"/>
        </w:rPr>
        <w:t>d’améliorer sa performance globale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et de développer son avantage concurrentiel en étant plus productive et plus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compétitive.</w:t>
      </w:r>
    </w:p>
    <w:p w:rsidR="008D793F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Pour les salariés, travailler dans une organisation socialement responsable est le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gage d’un </w:t>
      </w:r>
      <w:r w:rsidRPr="008D793F">
        <w:rPr>
          <w:rFonts w:cs="GuidePedagoTimes"/>
          <w:szCs w:val="24"/>
          <w:highlight w:val="yellow"/>
        </w:rPr>
        <w:t>bon climat social, de bonnes relations avec la direction, de l’amélioration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des conditions de travail, du respect du droit à la formation, du principe de l’égalité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hommes-femmes et de la présence des minorités.</w:t>
      </w:r>
      <w:r w:rsidRPr="00870CBA">
        <w:rPr>
          <w:rFonts w:cs="GuidePedagoTimes"/>
          <w:szCs w:val="24"/>
        </w:rPr>
        <w:t xml:space="preserve"> </w:t>
      </w:r>
    </w:p>
    <w:p w:rsidR="008D793F" w:rsidRDefault="008D793F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Une telle organisation se différencie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des autres, </w:t>
      </w:r>
      <w:r w:rsidRPr="008D793F">
        <w:rPr>
          <w:rFonts w:cs="GuidePedagoTimes"/>
          <w:szCs w:val="24"/>
          <w:highlight w:val="yellow"/>
        </w:rPr>
        <w:t>elle attire et fidélise les meilleurs profils.</w:t>
      </w:r>
    </w:p>
    <w:p w:rsidR="008061E6" w:rsidRDefault="008061E6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 w:val="24"/>
          <w:szCs w:val="24"/>
        </w:rPr>
      </w:pPr>
    </w:p>
    <w:p w:rsidR="008061E6" w:rsidRDefault="006033C1" w:rsidP="008061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uidePedagoNCond"/>
          <w:b/>
          <w:sz w:val="24"/>
          <w:szCs w:val="24"/>
          <w:u w:val="single"/>
        </w:rPr>
      </w:pPr>
      <w:r w:rsidRPr="008061E6">
        <w:rPr>
          <w:rFonts w:cs="GuidePedagoNCond"/>
          <w:b/>
          <w:sz w:val="24"/>
          <w:szCs w:val="24"/>
          <w:u w:val="single"/>
        </w:rPr>
        <w:t xml:space="preserve">Comment mettre en </w:t>
      </w:r>
      <w:proofErr w:type="spellStart"/>
      <w:r w:rsidRPr="008061E6">
        <w:rPr>
          <w:rFonts w:cs="GuidePedagoNCond"/>
          <w:b/>
          <w:sz w:val="24"/>
          <w:szCs w:val="24"/>
          <w:u w:val="single"/>
        </w:rPr>
        <w:t>oeuvre</w:t>
      </w:r>
      <w:proofErr w:type="spellEnd"/>
      <w:r w:rsidRPr="008061E6">
        <w:rPr>
          <w:rFonts w:cs="GuidePedagoNCond"/>
          <w:b/>
          <w:sz w:val="24"/>
          <w:szCs w:val="24"/>
          <w:u w:val="single"/>
        </w:rPr>
        <w:t xml:space="preserve"> la responsabilité sociale ?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 xml:space="preserve">La mise en </w:t>
      </w:r>
      <w:proofErr w:type="spellStart"/>
      <w:r w:rsidRPr="00870CBA">
        <w:rPr>
          <w:rFonts w:cs="GuidePedagoTimes"/>
          <w:szCs w:val="24"/>
        </w:rPr>
        <w:t>oeuvre</w:t>
      </w:r>
      <w:proofErr w:type="spellEnd"/>
      <w:r w:rsidRPr="00870CBA">
        <w:rPr>
          <w:rFonts w:cs="GuidePedagoTimes"/>
          <w:szCs w:val="24"/>
        </w:rPr>
        <w:t xml:space="preserve"> de la responsabilité sociale suppose un changement culturel dans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l’organisation. Toutes les parties prenantes internes (dirigeant, managers, salariés)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doivent être fortement mobilisées sur le long terme pour le succès de ce dispositif.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La réussite de la responsabilité sociale peut être évaluée par des labels comme Lucie,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 xml:space="preserve">qui permet d’évaluer et </w:t>
      </w:r>
      <w:bookmarkStart w:id="0" w:name="_GoBack"/>
      <w:bookmarkEnd w:id="0"/>
      <w:r w:rsidRPr="00870CBA">
        <w:rPr>
          <w:rFonts w:cs="GuidePedagoTimes"/>
          <w:szCs w:val="24"/>
        </w:rPr>
        <w:t>de reconnaître les actions menées dans le cadre de la responsabilité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sociale. À ce jour, seulement 25 entreprises bénéficient de ce label.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70CBA">
        <w:rPr>
          <w:rFonts w:cs="GuidePedagoTimes"/>
          <w:szCs w:val="24"/>
        </w:rPr>
        <w:t>D’autres labels concernent l’égalité, la diversité au sein de l’organisation. Les certifications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ISO 26000 et 14001 reconnaissent notamment les actions en faveur du bien-être</w:t>
      </w:r>
      <w:r w:rsidR="008061E6" w:rsidRPr="00870CBA">
        <w:rPr>
          <w:rFonts w:cs="GuidePedagoTimes"/>
          <w:szCs w:val="24"/>
        </w:rPr>
        <w:t xml:space="preserve"> </w:t>
      </w:r>
      <w:r w:rsidRPr="00870CBA">
        <w:rPr>
          <w:rFonts w:cs="GuidePedagoTimes"/>
          <w:szCs w:val="24"/>
        </w:rPr>
        <w:t>des salariés.</w:t>
      </w:r>
    </w:p>
    <w:p w:rsidR="006033C1" w:rsidRPr="00870CBA" w:rsidRDefault="006033C1" w:rsidP="008061E6">
      <w:pPr>
        <w:autoSpaceDE w:val="0"/>
        <w:autoSpaceDN w:val="0"/>
        <w:adjustRightInd w:val="0"/>
        <w:spacing w:after="0" w:line="240" w:lineRule="auto"/>
        <w:jc w:val="both"/>
        <w:rPr>
          <w:rFonts w:cs="GuidePedagoTimes"/>
          <w:szCs w:val="24"/>
        </w:rPr>
      </w:pPr>
      <w:r w:rsidRPr="008D793F">
        <w:rPr>
          <w:rFonts w:cs="GuidePedagoTimes"/>
          <w:szCs w:val="24"/>
          <w:highlight w:val="yellow"/>
        </w:rPr>
        <w:t>Le label ou la certification témoignent d’un réel engagement dans la RSE. L’organisation</w:t>
      </w:r>
      <w:r w:rsidR="008061E6" w:rsidRPr="008D793F">
        <w:rPr>
          <w:rFonts w:cs="GuidePedagoTimes"/>
          <w:szCs w:val="24"/>
          <w:highlight w:val="yellow"/>
        </w:rPr>
        <w:t xml:space="preserve"> </w:t>
      </w:r>
      <w:r w:rsidRPr="008D793F">
        <w:rPr>
          <w:rFonts w:cs="GuidePedagoTimes"/>
          <w:szCs w:val="24"/>
          <w:highlight w:val="yellow"/>
        </w:rPr>
        <w:t>pourra les utiliser dans sa communication interne et externe.</w:t>
      </w:r>
    </w:p>
    <w:sectPr w:rsidR="006033C1" w:rsidRPr="00870CBA" w:rsidSect="008061E6">
      <w:footerReference w:type="default" r:id="rId8"/>
      <w:pgSz w:w="11906" w:h="16838"/>
      <w:pgMar w:top="851" w:right="991" w:bottom="709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E6" w:rsidRDefault="008061E6" w:rsidP="008061E6">
      <w:pPr>
        <w:spacing w:after="0" w:line="240" w:lineRule="auto"/>
      </w:pPr>
      <w:r>
        <w:separator/>
      </w:r>
    </w:p>
  </w:endnote>
  <w:endnote w:type="continuationSeparator" w:id="0">
    <w:p w:rsidR="008061E6" w:rsidRDefault="008061E6" w:rsidP="008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idePedagoN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idePedago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062"/>
      <w:docPartObj>
        <w:docPartGallery w:val="Page Numbers (Bottom of Page)"/>
        <w:docPartUnique/>
      </w:docPartObj>
    </w:sdtPr>
    <w:sdtEndPr/>
    <w:sdtContent>
      <w:p w:rsidR="008061E6" w:rsidRDefault="008D793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1E6" w:rsidRDefault="008061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E6" w:rsidRDefault="008061E6" w:rsidP="008061E6">
      <w:pPr>
        <w:spacing w:after="0" w:line="240" w:lineRule="auto"/>
      </w:pPr>
      <w:r>
        <w:separator/>
      </w:r>
    </w:p>
  </w:footnote>
  <w:footnote w:type="continuationSeparator" w:id="0">
    <w:p w:rsidR="008061E6" w:rsidRDefault="008061E6" w:rsidP="0080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BD7"/>
    <w:multiLevelType w:val="hybridMultilevel"/>
    <w:tmpl w:val="187E0E18"/>
    <w:lvl w:ilvl="0" w:tplc="D3CA9BD8">
      <w:start w:val="1"/>
      <w:numFmt w:val="decimal"/>
      <w:lvlText w:val="%1."/>
      <w:lvlJc w:val="left"/>
      <w:pPr>
        <w:ind w:left="720" w:hanging="360"/>
      </w:pPr>
      <w:rPr>
        <w:rFonts w:cs="GuidePedagoNCond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979"/>
    <w:multiLevelType w:val="hybridMultilevel"/>
    <w:tmpl w:val="843ECA50"/>
    <w:lvl w:ilvl="0" w:tplc="727A343E">
      <w:start w:val="1"/>
      <w:numFmt w:val="decimal"/>
      <w:lvlText w:val="%1."/>
      <w:lvlJc w:val="left"/>
      <w:pPr>
        <w:ind w:left="720" w:hanging="360"/>
      </w:pPr>
      <w:rPr>
        <w:rFonts w:cs="GuidePedagoNCond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075F"/>
    <w:multiLevelType w:val="hybridMultilevel"/>
    <w:tmpl w:val="F4C486B6"/>
    <w:lvl w:ilvl="0" w:tplc="131C9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6F79"/>
    <w:multiLevelType w:val="hybridMultilevel"/>
    <w:tmpl w:val="DF9280FE"/>
    <w:lvl w:ilvl="0" w:tplc="F5427632">
      <w:start w:val="1"/>
      <w:numFmt w:val="decimal"/>
      <w:lvlText w:val="%1."/>
      <w:lvlJc w:val="left"/>
      <w:pPr>
        <w:ind w:left="720" w:hanging="360"/>
      </w:pPr>
      <w:rPr>
        <w:rFonts w:cs="GuidePedagoNCond-Bol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C1"/>
    <w:rsid w:val="000A616A"/>
    <w:rsid w:val="001838F9"/>
    <w:rsid w:val="001C0192"/>
    <w:rsid w:val="00216737"/>
    <w:rsid w:val="00336144"/>
    <w:rsid w:val="006033C1"/>
    <w:rsid w:val="00657F3C"/>
    <w:rsid w:val="0076380A"/>
    <w:rsid w:val="008061E6"/>
    <w:rsid w:val="00870CBA"/>
    <w:rsid w:val="008744A5"/>
    <w:rsid w:val="008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0A"/>
  </w:style>
  <w:style w:type="paragraph" w:styleId="Titre1">
    <w:name w:val="heading 1"/>
    <w:basedOn w:val="Normal"/>
    <w:next w:val="Normal"/>
    <w:link w:val="Titre1Car"/>
    <w:uiPriority w:val="9"/>
    <w:qFormat/>
    <w:rsid w:val="0076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6380A"/>
    <w:rPr>
      <w:b/>
      <w:bCs/>
    </w:rPr>
  </w:style>
  <w:style w:type="paragraph" w:styleId="Sansinterligne">
    <w:name w:val="No Spacing"/>
    <w:uiPriority w:val="1"/>
    <w:qFormat/>
    <w:rsid w:val="0076380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0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1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61E6"/>
  </w:style>
  <w:style w:type="paragraph" w:styleId="Pieddepage">
    <w:name w:val="footer"/>
    <w:basedOn w:val="Normal"/>
    <w:link w:val="PieddepageCar"/>
    <w:uiPriority w:val="99"/>
    <w:unhideWhenUsed/>
    <w:rsid w:val="008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RAVENEL</dc:creator>
  <cp:lastModifiedBy>RAVENEL</cp:lastModifiedBy>
  <cp:revision>3</cp:revision>
  <cp:lastPrinted>2013-09-13T07:43:00Z</cp:lastPrinted>
  <dcterms:created xsi:type="dcterms:W3CDTF">2014-10-22T08:58:00Z</dcterms:created>
  <dcterms:modified xsi:type="dcterms:W3CDTF">2014-11-07T11:00:00Z</dcterms:modified>
</cp:coreProperties>
</file>