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8" w:rsidRPr="00A30E28" w:rsidRDefault="00A30E28" w:rsidP="00A30E28">
      <w:pPr>
        <w:pStyle w:val="Titre1"/>
      </w:pPr>
      <w:r w:rsidRPr="003243F4">
        <w:rPr>
          <w:bdr w:val="single" w:sz="4" w:space="0" w:color="auto"/>
        </w:rPr>
        <w:t xml:space="preserve">LA </w:t>
      </w:r>
      <w:r>
        <w:rPr>
          <w:bdr w:val="single" w:sz="4" w:space="0" w:color="auto"/>
        </w:rPr>
        <w:t>PERFORMANCE COMMERCIALE</w:t>
      </w:r>
    </w:p>
    <w:p w:rsidR="00C10266" w:rsidRPr="00C10266" w:rsidRDefault="00C10266" w:rsidP="004B3C61">
      <w:pPr>
        <w:jc w:val="center"/>
        <w:rPr>
          <w:sz w:val="16"/>
          <w:szCs w:val="16"/>
        </w:rPr>
      </w:pPr>
    </w:p>
    <w:p w:rsidR="00B06366" w:rsidRDefault="0077762D" w:rsidP="004B3C6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48100" cy="2328525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206" cy="23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66" w:rsidRPr="008D5D35" w:rsidRDefault="00C47870" w:rsidP="00034D91">
      <w:pPr>
        <w:ind w:left="-993" w:right="-1136"/>
        <w:jc w:val="center"/>
        <w:rPr>
          <w:rFonts w:ascii="Arial" w:hAnsi="Arial" w:cs="Arial"/>
          <w:b/>
        </w:rPr>
      </w:pPr>
      <w:r w:rsidRPr="008D5D35">
        <w:rPr>
          <w:rFonts w:ascii="Arial" w:hAnsi="Arial" w:cs="Arial"/>
          <w:b/>
          <w:highlight w:val="yellow"/>
        </w:rPr>
        <w:t>Il EST 5 A 10 FOIS PLUS COUTEUX DE CONQUERIR UN NOUVEAU PUBLIC QUE D’EN CONSERVER UN.</w:t>
      </w:r>
    </w:p>
    <w:p w:rsidR="003A2E16" w:rsidRDefault="000E15E1" w:rsidP="00B06366">
      <w:pPr>
        <w:ind w:left="-993" w:right="-853"/>
        <w:rPr>
          <w:b/>
          <w:sz w:val="32"/>
          <w:szCs w:val="32"/>
        </w:rPr>
      </w:pPr>
      <w:r w:rsidRPr="00B06366">
        <w:rPr>
          <w:b/>
          <w:sz w:val="32"/>
          <w:szCs w:val="32"/>
        </w:rPr>
        <w:t>II/</w:t>
      </w:r>
      <w:r w:rsidRPr="00B06366">
        <w:rPr>
          <w:b/>
          <w:sz w:val="32"/>
          <w:szCs w:val="32"/>
          <w:u w:val="single"/>
        </w:rPr>
        <w:t xml:space="preserve"> LES PRINCIPAUX INDICATEURS DE PERFORMANCE COMMERCIALE</w:t>
      </w:r>
      <w:r w:rsidRPr="00B06366">
        <w:rPr>
          <w:b/>
          <w:sz w:val="32"/>
          <w:szCs w:val="32"/>
        </w:rPr>
        <w:t> :</w:t>
      </w:r>
    </w:p>
    <w:tbl>
      <w:tblPr>
        <w:tblStyle w:val="Grilledutableau"/>
        <w:tblW w:w="11482" w:type="dxa"/>
        <w:tblInd w:w="-1026" w:type="dxa"/>
        <w:tblLook w:val="04A0" w:firstRow="1" w:lastRow="0" w:firstColumn="1" w:lastColumn="0" w:noHBand="0" w:noVBand="1"/>
      </w:tblPr>
      <w:tblGrid>
        <w:gridCol w:w="3396"/>
        <w:gridCol w:w="8086"/>
      </w:tblGrid>
      <w:tr w:rsidR="00D75B4F" w:rsidRPr="00C80113" w:rsidTr="0026512E">
        <w:tc>
          <w:tcPr>
            <w:tcW w:w="3396" w:type="dxa"/>
            <w:shd w:val="clear" w:color="auto" w:fill="7030A0"/>
          </w:tcPr>
          <w:p w:rsidR="00D75B4F" w:rsidRPr="00C80113" w:rsidRDefault="00D75B4F" w:rsidP="00235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80113">
              <w:rPr>
                <w:b/>
                <w:color w:val="FFFFFF" w:themeColor="background1"/>
                <w:sz w:val="28"/>
                <w:szCs w:val="28"/>
              </w:rPr>
              <w:t>ELEMENTS</w:t>
            </w:r>
          </w:p>
        </w:tc>
        <w:tc>
          <w:tcPr>
            <w:tcW w:w="8086" w:type="dxa"/>
            <w:shd w:val="clear" w:color="auto" w:fill="7030A0"/>
          </w:tcPr>
          <w:p w:rsidR="00D75B4F" w:rsidRPr="00C80113" w:rsidRDefault="00D75B4F" w:rsidP="00235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80113">
              <w:rPr>
                <w:b/>
                <w:color w:val="FFFFFF" w:themeColor="background1"/>
                <w:sz w:val="28"/>
                <w:szCs w:val="28"/>
              </w:rPr>
              <w:t>EXPLICATION</w:t>
            </w:r>
            <w:r w:rsidR="00765850" w:rsidRPr="00C80113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D75B4F" w:rsidRPr="00D75B4F" w:rsidTr="0026512E">
        <w:tc>
          <w:tcPr>
            <w:tcW w:w="3396" w:type="dxa"/>
            <w:vAlign w:val="center"/>
          </w:tcPr>
          <w:p w:rsidR="000E15E1" w:rsidRPr="008D5D35" w:rsidRDefault="00D75B4F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D5D3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CHIFFRE D’AFFAIRE</w:t>
            </w:r>
            <w:r w:rsidR="00235E4B" w:rsidRPr="008D5D3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</w:t>
            </w:r>
            <w:r w:rsidR="00765850" w:rsidRPr="008D5D3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:rsidR="000E15E1" w:rsidRPr="008D5D35" w:rsidRDefault="008D5D35" w:rsidP="003A2E1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(EN VALEUR OU EN VOLUME)</w:t>
            </w:r>
          </w:p>
          <w:p w:rsidR="008D5D35" w:rsidRPr="008D5D35" w:rsidRDefault="008D5D35" w:rsidP="003A2E1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06366" w:rsidRPr="008D5D35" w:rsidRDefault="008D5D35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D5D3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96440" cy="1247775"/>
                  <wp:effectExtent l="19050" t="0" r="3810" b="0"/>
                  <wp:docPr id="1" name="il_fi" descr="http://www.gl-events.com/uploads/sfSympalBossMediaPlugin/image/8f24894a7feb2990617ab1e83adbbdcbac75ac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l-events.com/uploads/sfSympalBossMediaPlugin/image/8f24894a7feb2990617ab1e83adbbdcbac75ac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</w:tcPr>
          <w:p w:rsidR="00C80113" w:rsidRPr="008D5D35" w:rsidRDefault="00C80113" w:rsidP="0024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B4F" w:rsidRPr="008D5D35" w:rsidRDefault="00765850" w:rsidP="002405D5">
            <w:p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C</w:t>
            </w:r>
            <w:r w:rsidR="00D75B4F" w:rsidRPr="008D5D35">
              <w:rPr>
                <w:rFonts w:ascii="Arial" w:hAnsi="Arial" w:cs="Arial"/>
                <w:sz w:val="20"/>
                <w:szCs w:val="20"/>
              </w:rPr>
              <w:t xml:space="preserve">orrespond aux </w:t>
            </w: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VENTES REALISEES EN </w:t>
            </w:r>
            <w:r w:rsidRPr="00034D91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VALEUR</w:t>
            </w:r>
            <w:r w:rsidR="00034D91" w:rsidRPr="00034D91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(en €) OU EN VOLUME (en qté)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B4F" w:rsidRPr="008D5D35">
              <w:rPr>
                <w:rFonts w:ascii="Arial" w:hAnsi="Arial" w:cs="Arial"/>
                <w:sz w:val="20"/>
                <w:szCs w:val="20"/>
              </w:rPr>
              <w:t>sur une période donnée (jour, mois, trimestre, année).</w:t>
            </w:r>
          </w:p>
          <w:p w:rsidR="00765850" w:rsidRPr="008D5D35" w:rsidRDefault="00765850" w:rsidP="0024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E16" w:rsidRPr="008D5D35" w:rsidRDefault="003A2E16" w:rsidP="003A2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CA EN VALEUR =  QTE VENDUE </w:t>
            </w:r>
            <w:r w:rsidR="0026512E"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PRIX UNITAIRE</w:t>
            </w:r>
          </w:p>
          <w:p w:rsidR="003A2E16" w:rsidRPr="008D5D35" w:rsidRDefault="003A2E16" w:rsidP="0024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35" w:rsidRPr="008D5D35" w:rsidRDefault="008D5D35" w:rsidP="008D5D35">
            <w:p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Des comparaisons dans le temps permettent de mesurer la capacité de l’entreprise à se développer (</w:t>
            </w: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CROISSANCE DES VENTES</w:t>
            </w:r>
            <w:r w:rsidRPr="008D5D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D5D35" w:rsidRPr="008D5D35" w:rsidRDefault="008D5D35" w:rsidP="008D5D3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35" w:rsidRPr="008D5D35" w:rsidRDefault="008D5D35" w:rsidP="008D5D35">
            <w:p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Ce nombre de produit vendus peut être ventilé :</w:t>
            </w:r>
          </w:p>
          <w:p w:rsidR="008D5D35" w:rsidRPr="008D5D35" w:rsidRDefault="008D5D35" w:rsidP="008D5D3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Par zone géographique</w:t>
            </w:r>
          </w:p>
          <w:p w:rsidR="008D5D35" w:rsidRPr="008D5D35" w:rsidRDefault="008D5D35" w:rsidP="008D5D3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Par type de produits vendus si l’entreprise vend différents types de produits.</w:t>
            </w:r>
          </w:p>
          <w:p w:rsidR="008D5D35" w:rsidRPr="008D5D35" w:rsidRDefault="008D5D35" w:rsidP="008D5D3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Par type de clientèle (Professionnels B to B, particuliers B to C)</w:t>
            </w:r>
          </w:p>
          <w:p w:rsidR="008D5D35" w:rsidRPr="008D5D35" w:rsidRDefault="008D5D35" w:rsidP="0024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850" w:rsidRPr="008D5D35" w:rsidRDefault="00765850" w:rsidP="00765850">
            <w:pPr>
              <w:tabs>
                <w:tab w:val="left" w:pos="368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 xml:space="preserve">La formule du CA nous permet de voir aisément que pour développer son chiffre d’affaires, une entreprise peut donc influer sur deux variables : </w:t>
            </w:r>
          </w:p>
          <w:p w:rsidR="008D5D35" w:rsidRPr="008D5D35" w:rsidRDefault="008D5D35" w:rsidP="00765850">
            <w:pPr>
              <w:tabs>
                <w:tab w:val="left" w:pos="3686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0" w:rsidRPr="008D5D35" w:rsidRDefault="00765850" w:rsidP="00C47870">
            <w:pPr>
              <w:pStyle w:val="Paragraphedeliste"/>
              <w:numPr>
                <w:ilvl w:val="0"/>
                <w:numId w:val="1"/>
              </w:numPr>
              <w:tabs>
                <w:tab w:val="left" w:pos="36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LA QUANTITE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 (réussir à vendre plus de produits que les années précédentes) </w:t>
            </w:r>
          </w:p>
          <w:p w:rsidR="00985B0B" w:rsidRPr="008D5D35" w:rsidRDefault="00985B0B" w:rsidP="00985B0B">
            <w:pPr>
              <w:pStyle w:val="Paragraphedeliste"/>
              <w:tabs>
                <w:tab w:val="left" w:pos="36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0" w:rsidRPr="008D5D35" w:rsidRDefault="00765850" w:rsidP="00C47870">
            <w:pPr>
              <w:pStyle w:val="Paragraphedeliste"/>
              <w:numPr>
                <w:ilvl w:val="0"/>
                <w:numId w:val="1"/>
              </w:numPr>
              <w:tabs>
                <w:tab w:val="left" w:pos="36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ET/OU LE PRIX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 (vendre plus cher).</w:t>
            </w:r>
          </w:p>
          <w:p w:rsidR="00985B0B" w:rsidRPr="008D5D35" w:rsidRDefault="00985B0B" w:rsidP="005E4696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E4B" w:rsidRPr="00D75B4F" w:rsidTr="0026512E">
        <w:tc>
          <w:tcPr>
            <w:tcW w:w="3396" w:type="dxa"/>
            <w:vAlign w:val="center"/>
          </w:tcPr>
          <w:p w:rsidR="00235E4B" w:rsidRPr="008D5D35" w:rsidRDefault="00235E4B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D3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PART DE MARCHE</w:t>
            </w:r>
          </w:p>
          <w:p w:rsidR="000E15E1" w:rsidRPr="008D5D35" w:rsidRDefault="000E15E1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113" w:rsidRPr="008D5D35" w:rsidRDefault="000E15E1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D35">
              <w:rPr>
                <w:noProof/>
                <w:sz w:val="24"/>
                <w:szCs w:val="24"/>
              </w:rPr>
              <w:drawing>
                <wp:inline distT="0" distB="0" distL="0" distR="0">
                  <wp:extent cx="1942560" cy="866775"/>
                  <wp:effectExtent l="19050" t="0" r="54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6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62D" w:rsidRPr="008D5D35" w:rsidRDefault="0077762D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62D" w:rsidRPr="008D5D35" w:rsidRDefault="0077762D" w:rsidP="003A2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D35">
              <w:rPr>
                <w:noProof/>
              </w:rPr>
              <w:drawing>
                <wp:inline distT="0" distB="0" distL="0" distR="0">
                  <wp:extent cx="1304925" cy="1156638"/>
                  <wp:effectExtent l="19050" t="0" r="0" b="0"/>
                  <wp:docPr id="19" name="il_fi" descr="http://2.bp.blogspot.com/-D1knIwJmGso/TsTLz9cw0lI/AAAAAAAAAJo/SpVm0WwHR18/s1600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D1knIwJmGso/TsTLz9cw0lI/AAAAAAAAAJo/SpVm0WwHR18/s1600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81" cy="115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</w:tcPr>
          <w:p w:rsidR="00C80113" w:rsidRPr="008D5D35" w:rsidRDefault="00C80113" w:rsidP="00235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E4B" w:rsidRPr="008D5D35" w:rsidRDefault="003A2E16" w:rsidP="00235E4B">
            <w:p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>Représente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le c</w:t>
            </w:r>
            <w:r w:rsidRPr="008D5D35">
              <w:rPr>
                <w:rFonts w:ascii="Arial" w:hAnsi="Arial" w:cs="Arial"/>
                <w:sz w:val="20"/>
                <w:szCs w:val="20"/>
              </w:rPr>
              <w:t>hiffre d’affaire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D35">
              <w:rPr>
                <w:rFonts w:ascii="Arial" w:hAnsi="Arial" w:cs="Arial"/>
                <w:sz w:val="20"/>
                <w:szCs w:val="20"/>
              </w:rPr>
              <w:t>réalisé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>entreprise par rapport au c</w:t>
            </w:r>
            <w:r w:rsidRPr="008D5D35">
              <w:rPr>
                <w:rFonts w:ascii="Arial" w:hAnsi="Arial" w:cs="Arial"/>
                <w:sz w:val="20"/>
                <w:szCs w:val="20"/>
              </w:rPr>
              <w:t>hiffre d’affaires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D35">
              <w:rPr>
                <w:rFonts w:ascii="Arial" w:hAnsi="Arial" w:cs="Arial"/>
                <w:sz w:val="20"/>
                <w:szCs w:val="20"/>
              </w:rPr>
              <w:t>réalisé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par l’ensemble des entreprises appartenant au </w:t>
            </w:r>
            <w:r w:rsidRPr="008D5D35">
              <w:rPr>
                <w:rFonts w:ascii="Arial" w:hAnsi="Arial" w:cs="Arial"/>
                <w:sz w:val="20"/>
                <w:szCs w:val="20"/>
              </w:rPr>
              <w:t>même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secteur d’</w:t>
            </w:r>
            <w:r w:rsidRPr="008D5D35">
              <w:rPr>
                <w:rFonts w:ascii="Arial" w:hAnsi="Arial" w:cs="Arial"/>
                <w:sz w:val="20"/>
                <w:szCs w:val="20"/>
              </w:rPr>
              <w:t>activité </w:t>
            </w:r>
            <w:r w:rsidR="001E3E4A" w:rsidRPr="008D5D35">
              <w:rPr>
                <w:rFonts w:ascii="Arial" w:hAnsi="Arial" w:cs="Arial"/>
                <w:sz w:val="20"/>
                <w:szCs w:val="20"/>
              </w:rPr>
              <w:t>(concurrents) exprimé en %</w:t>
            </w:r>
            <w:r w:rsidRPr="008D5D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E16" w:rsidRPr="008D5D35" w:rsidRDefault="003A2E16" w:rsidP="00235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E4A" w:rsidRPr="008D5D35" w:rsidRDefault="0074016D" w:rsidP="001E3E4A">
            <w:pPr>
              <w:contextualSpacing/>
              <w:jc w:val="both"/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  <w:highlight w:val="yellow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highlight w:val="yellow"/>
                      </w:rPr>
                      <m:t>PDM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highlight w:val="yellow"/>
                      </w:rPr>
                      <m:t>en volume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  <w:highlight w:val="yellow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highlight w:val="yellow"/>
                      </w:rPr>
                      <m:t xml:space="preserve"> VENTES DE L'ENTREPRISE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highlight w:val="yellow"/>
                      </w:rPr>
                      <m:t>TOTAL DES VENTES DU SECTEUR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highlight w:val="yellow"/>
                  </w:rPr>
                  <m:t xml:space="preserve"> ×100</m:t>
                </m:r>
              </m:oMath>
            </m:oMathPara>
          </w:p>
          <w:p w:rsidR="001E3E4A" w:rsidRPr="008D5D35" w:rsidRDefault="001E3E4A" w:rsidP="001E3E4A">
            <w:pPr>
              <w:contextualSpacing/>
              <w:jc w:val="both"/>
              <w:rPr>
                <w:sz w:val="20"/>
                <w:szCs w:val="20"/>
              </w:rPr>
            </w:pPr>
          </w:p>
          <w:p w:rsidR="00235E4B" w:rsidRPr="008D5D35" w:rsidRDefault="001E3E4A" w:rsidP="00235E4B">
            <w:pPr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 xml:space="preserve">L’évolution de cet indicateur dans le temps 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>permet de voir si l</w:t>
            </w:r>
            <w:r w:rsidR="003A2E16" w:rsidRPr="008D5D35">
              <w:rPr>
                <w:rFonts w:ascii="Arial" w:hAnsi="Arial" w:cs="Arial"/>
                <w:sz w:val="20"/>
                <w:szCs w:val="20"/>
              </w:rPr>
              <w:t>’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entreprise </w:t>
            </w:r>
            <w:r w:rsidR="003A2E16" w:rsidRPr="008D5D35">
              <w:rPr>
                <w:rFonts w:ascii="Arial" w:hAnsi="Arial" w:cs="Arial"/>
                <w:sz w:val="20"/>
                <w:szCs w:val="20"/>
              </w:rPr>
              <w:t>« 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>surperforme</w:t>
            </w:r>
            <w:r w:rsidR="003A2E16" w:rsidRPr="008D5D35">
              <w:rPr>
                <w:rFonts w:ascii="Arial" w:hAnsi="Arial" w:cs="Arial"/>
                <w:sz w:val="20"/>
                <w:szCs w:val="20"/>
              </w:rPr>
              <w:t> »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3A2E16" w:rsidRPr="008D5D35">
              <w:rPr>
                <w:rFonts w:ascii="Arial" w:hAnsi="Arial" w:cs="Arial"/>
                <w:sz w:val="20"/>
                <w:szCs w:val="20"/>
              </w:rPr>
              <w:t>« 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>sous performe</w:t>
            </w:r>
            <w:r w:rsidR="003A2E16" w:rsidRPr="008D5D35">
              <w:rPr>
                <w:rFonts w:ascii="Arial" w:hAnsi="Arial" w:cs="Arial"/>
                <w:sz w:val="20"/>
                <w:szCs w:val="20"/>
              </w:rPr>
              <w:t> »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(gain ou perte de </w:t>
            </w:r>
            <w:r w:rsidR="00C80113"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COMPETITIVITE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35E4B" w:rsidRPr="008D5D35">
              <w:rPr>
                <w:rFonts w:ascii="Arial" w:hAnsi="Arial" w:cs="Arial"/>
                <w:sz w:val="20"/>
                <w:szCs w:val="20"/>
              </w:rPr>
              <w:t xml:space="preserve">par rapport a 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ses </w:t>
            </w:r>
            <w:r w:rsidR="00C80113"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CONCURRENTS</w:t>
            </w:r>
            <w:r w:rsidRPr="008D5D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3E4A" w:rsidRPr="008D5D35" w:rsidRDefault="001E3E4A" w:rsidP="001E3E4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B0B" w:rsidRPr="008D5D35" w:rsidRDefault="001E3E4A" w:rsidP="001E3E4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 xml:space="preserve">Une entreprise </w:t>
            </w:r>
            <w:r w:rsidR="00C80113"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LEADER</w:t>
            </w:r>
            <w:r w:rsidRPr="008D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(ou chef de file, en français) sur un marché est celle enregistrant la plus grande part de marché de tous les concurrents. </w:t>
            </w:r>
          </w:p>
          <w:p w:rsidR="00985B0B" w:rsidRPr="008D5D35" w:rsidRDefault="001E3E4A" w:rsidP="001E3E4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C80113"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CHALLENGER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 (ou prétendant en français) est l’entreprise qui enregistre la 2</w:t>
            </w:r>
            <w:r w:rsidRPr="008D5D3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8D5D35">
              <w:rPr>
                <w:rFonts w:ascii="Arial" w:hAnsi="Arial" w:cs="Arial"/>
                <w:sz w:val="20"/>
                <w:szCs w:val="20"/>
              </w:rPr>
              <w:t xml:space="preserve"> meilleure part de marché.</w:t>
            </w:r>
            <w:r w:rsidR="00C80113" w:rsidRPr="008D5D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E4B" w:rsidRPr="008D5D35" w:rsidRDefault="00C80113" w:rsidP="001E3E4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D35">
              <w:rPr>
                <w:rFonts w:ascii="Arial" w:hAnsi="Arial" w:cs="Arial"/>
                <w:sz w:val="20"/>
                <w:szCs w:val="20"/>
              </w:rPr>
              <w:t xml:space="preserve">Les entreprises poursuivantes étant des </w:t>
            </w:r>
            <w:r w:rsidRPr="008D5D3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OUTSIDERS</w:t>
            </w:r>
          </w:p>
        </w:tc>
      </w:tr>
    </w:tbl>
    <w:p w:rsidR="008D5D35" w:rsidRDefault="008D5D35" w:rsidP="00C10266">
      <w:pPr>
        <w:rPr>
          <w:sz w:val="24"/>
          <w:szCs w:val="24"/>
        </w:rPr>
      </w:pPr>
    </w:p>
    <w:p w:rsidR="008D5D35" w:rsidRPr="00985F92" w:rsidRDefault="008D5D35" w:rsidP="008D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right="1417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85F92">
        <w:rPr>
          <w:rFonts w:ascii="Arial" w:eastAsia="Times New Roman" w:hAnsi="Arial" w:cs="Arial"/>
          <w:b/>
          <w:bCs/>
          <w:kern w:val="36"/>
          <w:sz w:val="28"/>
          <w:szCs w:val="28"/>
        </w:rPr>
        <w:lastRenderedPageBreak/>
        <w:t>LA PERFORMANCE FINANCIERE</w:t>
      </w:r>
    </w:p>
    <w:p w:rsidR="008D5D35" w:rsidRDefault="008D5D35" w:rsidP="008D5D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034D91" w:rsidP="008D5D35">
      <w:pPr>
        <w:spacing w:before="100" w:beforeAutospacing="1" w:after="100" w:afterAutospacing="1" w:line="240" w:lineRule="auto"/>
        <w:ind w:left="-567" w:right="-568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1930E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LA PERFORMANCE FINANCIERE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DE L’ENTREPRISE</w:t>
      </w:r>
    </w:p>
    <w:p w:rsidR="008D5D35" w:rsidRPr="001930E5" w:rsidRDefault="00034D91" w:rsidP="008D5D35">
      <w:pPr>
        <w:spacing w:before="100" w:beforeAutospacing="1" w:after="100" w:afterAutospacing="1" w:line="240" w:lineRule="auto"/>
        <w:ind w:left="-567" w:right="-568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1930E5">
        <w:rPr>
          <w:rFonts w:ascii="Arial" w:eastAsia="Times New Roman" w:hAnsi="Arial" w:cs="Arial"/>
          <w:b/>
          <w:bCs/>
          <w:kern w:val="36"/>
          <w:sz w:val="28"/>
          <w:szCs w:val="28"/>
        </w:rPr>
        <w:t>S’ARTICULE AUTOUR DE 4 AXES PRINCIPAUX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 </w:t>
      </w:r>
      <w:r w:rsidR="008D5D35">
        <w:rPr>
          <w:rFonts w:ascii="Arial" w:eastAsia="Times New Roman" w:hAnsi="Arial" w:cs="Arial"/>
          <w:b/>
          <w:bCs/>
          <w:kern w:val="36"/>
          <w:sz w:val="28"/>
          <w:szCs w:val="28"/>
        </w:rPr>
        <w:t>:</w:t>
      </w:r>
    </w:p>
    <w:p w:rsidR="008D5D35" w:rsidRDefault="0074016D" w:rsidP="008D5D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241935</wp:posOffset>
                </wp:positionV>
                <wp:extent cx="2495550" cy="561975"/>
                <wp:effectExtent l="10160" t="5715" r="8890" b="1333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D35" w:rsidRPr="007D2661" w:rsidRDefault="008D5D35" w:rsidP="008D5D3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4A4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PROFITABILITE</w:t>
                            </w:r>
                            <w:r w:rsidRPr="00C74A4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(CAPACITE A GENERER DES</w:t>
                            </w:r>
                            <w:r w:rsidRPr="00C74A49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BENEFICES</w:t>
                            </w:r>
                            <w:r w:rsidRPr="007D266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D5D35" w:rsidRPr="00985F92" w:rsidRDefault="008D5D35" w:rsidP="008D5D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48.15pt;margin-top:19.05pt;width:196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">
                <v:textbox>
                  <w:txbxContent>
                    <w:p w:rsidR="008D5D35" w:rsidRPr="007D2661" w:rsidRDefault="008D5D35" w:rsidP="008D5D3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74A4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PROFITABILITE</w:t>
                      </w:r>
                      <w:r w:rsidRPr="00C74A4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(CAPACITE A GENERER DES</w:t>
                      </w:r>
                      <w:r w:rsidRPr="00C74A49">
                        <w:rPr>
                          <w:color w:val="0070C0"/>
                          <w:sz w:val="28"/>
                          <w:szCs w:val="28"/>
                        </w:rPr>
                        <w:t xml:space="preserve"> BENEFICES</w:t>
                      </w:r>
                      <w:r w:rsidRPr="007D2661"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8D5D35" w:rsidRPr="00985F92" w:rsidRDefault="008D5D35" w:rsidP="008D5D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D35" w:rsidRDefault="008D5D35" w:rsidP="008D5D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74016D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13335</wp:posOffset>
                </wp:positionV>
                <wp:extent cx="3028950" cy="2790825"/>
                <wp:effectExtent l="19685" t="15240" r="18415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9082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35" w:rsidRPr="00985F92" w:rsidRDefault="008D5D35" w:rsidP="008D5D3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85F9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PERFORMANCE FINANCIERE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style="position:absolute;margin-left:127.9pt;margin-top:1.05pt;width:238.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" adj="-11796480,,5400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formulas/>
                <v:path o:connecttype="custom" o:connectlocs="3028950,1395413;1514475,2790825;0,1395413;1514475,0" o:connectangles="0,90,180,270" textboxrect="2160,8640,19440,12960"/>
                <v:textbox>
                  <w:txbxContent>
                    <w:p w:rsidR="008D5D35" w:rsidRPr="00985F92" w:rsidRDefault="008D5D35" w:rsidP="008D5D3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85F92">
                        <w:rPr>
                          <w:rFonts w:ascii="Arial" w:hAnsi="Arial" w:cs="Arial"/>
                          <w:sz w:val="36"/>
                          <w:szCs w:val="36"/>
                        </w:rPr>
                        <w:t>PERFORMANCE FINANCIERE</w:t>
                      </w:r>
                    </w:p>
                  </w:txbxContent>
                </v:textbox>
              </v:shape>
            </w:pict>
          </mc:Fallback>
        </mc:AlternateContent>
      </w: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74016D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146685</wp:posOffset>
                </wp:positionV>
                <wp:extent cx="1809750" cy="1257300"/>
                <wp:effectExtent l="10160" t="5715" r="8890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D35" w:rsidRPr="00C74A49" w:rsidRDefault="008D5D35" w:rsidP="008D5D35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74A4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DIVIDENDES ET PLUS VALUES</w:t>
                            </w:r>
                            <w:r w:rsidRPr="00C74A4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(CAPACITE A ENRICHIR SES ACTIONNAIRES)</w:t>
                            </w:r>
                          </w:p>
                          <w:p w:rsidR="008D5D35" w:rsidRPr="00985F92" w:rsidRDefault="008D5D35" w:rsidP="008D5D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371.65pt;margin-top:11.55pt;width:14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">
                <v:textbox>
                  <w:txbxContent>
                    <w:p w:rsidR="008D5D35" w:rsidRPr="00C74A49" w:rsidRDefault="008D5D35" w:rsidP="008D5D35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74A4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DIVIDENDES ET PLUS VALUES</w:t>
                      </w:r>
                      <w:r w:rsidRPr="00C74A4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(CAPACITE A ENRICHIR SES ACTIONNAIRES)</w:t>
                      </w:r>
                    </w:p>
                    <w:p w:rsidR="008D5D35" w:rsidRPr="00985F92" w:rsidRDefault="008D5D35" w:rsidP="008D5D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270510</wp:posOffset>
                </wp:positionV>
                <wp:extent cx="2124075" cy="1009650"/>
                <wp:effectExtent l="8890" t="5715" r="10160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D35" w:rsidRPr="00C74A49" w:rsidRDefault="008D5D35" w:rsidP="008D5D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4A4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AUTOFINANCEMENT </w:t>
                            </w:r>
                          </w:p>
                          <w:p w:rsidR="008D5D35" w:rsidRPr="00C74A49" w:rsidRDefault="008D5D35" w:rsidP="008D5D35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74A49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(CAPACITE A FINANCER PAR SES PROPRES MOYENS FINANCIERS DES PROJETS D’INVESTISSEMENT</w:t>
                            </w:r>
                          </w:p>
                          <w:p w:rsidR="008D5D35" w:rsidRPr="00985F92" w:rsidRDefault="008D5D35" w:rsidP="008D5D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46.2pt;margin-top:21.3pt;width:167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">
                <v:textbox>
                  <w:txbxContent>
                    <w:p w:rsidR="008D5D35" w:rsidRPr="00C74A49" w:rsidRDefault="008D5D35" w:rsidP="008D5D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74A4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AUTOFINANCEMENT </w:t>
                      </w:r>
                    </w:p>
                    <w:p w:rsidR="008D5D35" w:rsidRPr="00C74A49" w:rsidRDefault="008D5D35" w:rsidP="008D5D35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74A49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(CAPACITE A FINANCER PAR SES PROPRES MOYENS FINANCIERS DES PROJETS D’INVESTISSEMENT</w:t>
                      </w:r>
                    </w:p>
                    <w:p w:rsidR="008D5D35" w:rsidRPr="00985F92" w:rsidRDefault="008D5D35" w:rsidP="008D5D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74016D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203835</wp:posOffset>
                </wp:positionV>
                <wp:extent cx="2495550" cy="1438275"/>
                <wp:effectExtent l="10160" t="5715" r="8890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D35" w:rsidRPr="00C74A49" w:rsidRDefault="008D5D35" w:rsidP="008D5D35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74A49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RENTABILITE</w:t>
                            </w:r>
                            <w:r w:rsidRPr="00C74A4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(COMPARAISON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DES</w:t>
                            </w:r>
                            <w:r w:rsidRPr="00C74A4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BENEFICES REALISES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 w:rsidRPr="00C74A49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MOYENS FINANCIERS (EMPRUNT ET CAPITAL) MIS EN OEUVRE</w:t>
                            </w:r>
                          </w:p>
                          <w:p w:rsidR="008D5D35" w:rsidRPr="00985F92" w:rsidRDefault="008D5D35" w:rsidP="008D5D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148.15pt;margin-top:16.05pt;width:196.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">
                <v:textbox>
                  <w:txbxContent>
                    <w:p w:rsidR="008D5D35" w:rsidRPr="00C74A49" w:rsidRDefault="008D5D35" w:rsidP="008D5D35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74A49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RENTABILITE</w:t>
                      </w:r>
                      <w:r w:rsidRPr="00C74A4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(COMPARAISON </w:t>
                      </w: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DES</w:t>
                      </w:r>
                      <w:r w:rsidRPr="00C74A4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BENEFICES REALISES </w:t>
                      </w: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/</w:t>
                      </w:r>
                      <w:r w:rsidRPr="00C74A49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MOYENS FINANCIERS (EMPRUNT ET CAPITAL) MIS EN OEUVRE</w:t>
                      </w:r>
                    </w:p>
                    <w:p w:rsidR="008D5D35" w:rsidRPr="00985F92" w:rsidRDefault="008D5D35" w:rsidP="008D5D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8D5D35" w:rsidP="008D5D35">
      <w:pPr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D5D35" w:rsidRDefault="00034D91" w:rsidP="008D5D35">
      <w:pPr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E129BB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</w:rPr>
        <w:t>LES PRINCIPAUX INDICATEURS DE PERFORMANCE FINANCIERE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</w:rPr>
        <w:t xml:space="preserve"> EN % (RATIOS)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 :</w:t>
      </w:r>
    </w:p>
    <w:tbl>
      <w:tblPr>
        <w:tblStyle w:val="Grilledutableau"/>
        <w:tblW w:w="10995" w:type="dxa"/>
        <w:tblInd w:w="-601" w:type="dxa"/>
        <w:tblLook w:val="04A0" w:firstRow="1" w:lastRow="0" w:firstColumn="1" w:lastColumn="0" w:noHBand="0" w:noVBand="1"/>
      </w:tblPr>
      <w:tblGrid>
        <w:gridCol w:w="4028"/>
        <w:gridCol w:w="6967"/>
      </w:tblGrid>
      <w:tr w:rsidR="008D5D35" w:rsidTr="00034D91">
        <w:tc>
          <w:tcPr>
            <w:tcW w:w="4028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TAUX DE PROFITABILITE</w:t>
            </w:r>
          </w:p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(RESULTAT NET / CHIFFRE D’AFFAIRE) x100</w:t>
            </w:r>
          </w:p>
        </w:tc>
      </w:tr>
      <w:tr w:rsidR="008D5D35" w:rsidTr="00034D91">
        <w:tc>
          <w:tcPr>
            <w:tcW w:w="4028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TAUX DE RENTABILITE ECONOMIQUE</w:t>
            </w:r>
          </w:p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RESULTAT D’EXPOITATION / (EMPRUNT+CAPITAUX PROPRES) x100</w:t>
            </w:r>
          </w:p>
        </w:tc>
      </w:tr>
      <w:tr w:rsidR="008D5D35" w:rsidTr="00034D91">
        <w:tc>
          <w:tcPr>
            <w:tcW w:w="4028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TAUX DE RENTABILITE FINANCIERE</w:t>
            </w:r>
          </w:p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RESULTAT NET / (CAPITAUX PROPRES) x100</w:t>
            </w:r>
          </w:p>
        </w:tc>
      </w:tr>
      <w:tr w:rsidR="008D5D35" w:rsidTr="00034D91">
        <w:tc>
          <w:tcPr>
            <w:tcW w:w="4028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RENDEMENT D’UNE ACTION</w:t>
            </w:r>
          </w:p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6967" w:type="dxa"/>
            <w:vAlign w:val="center"/>
          </w:tcPr>
          <w:p w:rsidR="008D5D35" w:rsidRDefault="008D5D35" w:rsidP="00034D91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(DIVIDENDE PAR ACTION / COURS D’UNE ACTION ) X 100</w:t>
            </w:r>
          </w:p>
        </w:tc>
      </w:tr>
    </w:tbl>
    <w:p w:rsidR="0074016D" w:rsidRDefault="0074016D" w:rsidP="008D5D35">
      <w:pPr>
        <w:rPr>
          <w:sz w:val="24"/>
          <w:szCs w:val="24"/>
        </w:rPr>
      </w:pPr>
    </w:p>
    <w:p w:rsidR="0074016D" w:rsidRDefault="0074016D" w:rsidP="0074016D">
      <w:r>
        <w:br w:type="page"/>
      </w:r>
    </w:p>
    <w:p w:rsidR="0074016D" w:rsidRPr="00BB75F7" w:rsidRDefault="0074016D" w:rsidP="0074016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BB75F7">
        <w:rPr>
          <w:rFonts w:ascii="Arial" w:hAnsi="Arial" w:cs="Arial"/>
          <w:b/>
          <w:bCs/>
          <w:kern w:val="36"/>
          <w:sz w:val="28"/>
          <w:szCs w:val="28"/>
        </w:rPr>
        <w:lastRenderedPageBreak/>
        <w:t>ESSILOR, UN LEADER AU SERVICE DE LA SANTE VISUELLE </w:t>
      </w:r>
    </w:p>
    <w:p w:rsidR="0074016D" w:rsidRPr="008D7F65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F00E7D">
        <w:rPr>
          <w:rFonts w:ascii="Arial" w:hAnsi="Arial" w:cs="Arial"/>
        </w:rPr>
        <w:t> </w:t>
      </w:r>
      <w:r w:rsidRPr="008D7F65">
        <w:rPr>
          <w:rFonts w:ascii="Arial" w:hAnsi="Arial" w:cs="Arial"/>
        </w:rPr>
        <w:t xml:space="preserve">Essilor est le </w:t>
      </w:r>
      <w:r w:rsidRPr="008D7F65">
        <w:rPr>
          <w:rFonts w:ascii="Arial" w:hAnsi="Arial" w:cs="Arial"/>
          <w:b/>
          <w:bCs/>
        </w:rPr>
        <w:t>numéro un mondial des verres correcteurs</w:t>
      </w:r>
      <w:r w:rsidRPr="008D7F65">
        <w:rPr>
          <w:rFonts w:ascii="Arial" w:hAnsi="Arial" w:cs="Arial"/>
        </w:rPr>
        <w:t>.</w:t>
      </w:r>
    </w:p>
    <w:p w:rsidR="0074016D" w:rsidRPr="008D7F65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8D7F65">
        <w:rPr>
          <w:rFonts w:ascii="Arial" w:hAnsi="Arial" w:cs="Arial"/>
        </w:rPr>
        <w:t>Présent dans plus de</w:t>
      </w:r>
      <w:r w:rsidRPr="008D7F65">
        <w:rPr>
          <w:rFonts w:ascii="Arial" w:hAnsi="Arial" w:cs="Arial"/>
          <w:b/>
          <w:bCs/>
        </w:rPr>
        <w:t xml:space="preserve"> </w:t>
      </w:r>
      <w:r w:rsidRPr="008D7F65">
        <w:rPr>
          <w:rFonts w:ascii="Arial" w:hAnsi="Arial" w:cs="Arial"/>
        </w:rPr>
        <w:t>100 pays, le groupe tire sa réussite d’une stratégie dont l’innovation est le moteur depuis plus de 160 ans.</w:t>
      </w:r>
    </w:p>
    <w:p w:rsidR="0074016D" w:rsidRPr="008D7F65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8D7F65">
        <w:rPr>
          <w:rFonts w:ascii="Arial" w:hAnsi="Arial" w:cs="Arial"/>
        </w:rPr>
        <w:t xml:space="preserve"> De la conception à la fabrication, le groupe élabore de larges gammes de verres pour corriger et protéger la vue.</w:t>
      </w:r>
    </w:p>
    <w:p w:rsidR="0074016D" w:rsidRPr="008D7F65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Style w:val="maintexte"/>
          <w:rFonts w:ascii="Arial" w:hAnsi="Arial" w:cs="Arial"/>
        </w:rPr>
      </w:pPr>
      <w:r w:rsidRPr="008D7F65">
        <w:rPr>
          <w:rStyle w:val="maintexte"/>
          <w:rFonts w:ascii="Arial" w:hAnsi="Arial" w:cs="Arial"/>
        </w:rPr>
        <w:t>Ainsi, le groupe consacre environ 150 millions d’euros par an à la recherche et au développement pour proposer des produits toujours plus performants.</w:t>
      </w:r>
    </w:p>
    <w:p w:rsidR="0074016D" w:rsidRPr="008D7F65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</w:rPr>
      </w:pPr>
      <w:r w:rsidRPr="008D7F65">
        <w:rPr>
          <w:rFonts w:ascii="Arial" w:hAnsi="Arial" w:cs="Arial"/>
        </w:rPr>
        <w:t>Sa mission est de permettre à toute personne dans le monde d’avoir une bonne vision grâce à des verres</w:t>
      </w:r>
      <w:r>
        <w:rPr>
          <w:rFonts w:ascii="Arial" w:hAnsi="Arial" w:cs="Arial"/>
        </w:rPr>
        <w:t xml:space="preserve"> </w:t>
      </w:r>
      <w:r w:rsidRPr="008D7F65">
        <w:rPr>
          <w:rFonts w:ascii="Arial" w:hAnsi="Arial" w:cs="Arial"/>
        </w:rPr>
        <w:t>adaptés à ses besoins..</w:t>
      </w:r>
    </w:p>
    <w:p w:rsidR="0074016D" w:rsidRPr="00F00E7D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 w:rsidRPr="008D7F65">
        <w:rPr>
          <w:rFonts w:ascii="Arial" w:hAnsi="Arial" w:cs="Arial"/>
          <w:color w:val="1D2528"/>
        </w:rPr>
        <w:t xml:space="preserve">Les marques phares sont </w:t>
      </w:r>
      <w:bookmarkStart w:id="0" w:name="www.varilux.com"/>
      <w:r w:rsidRPr="008D7F65">
        <w:rPr>
          <w:rFonts w:ascii="Arial" w:hAnsi="Arial" w:cs="Arial"/>
          <w:color w:val="1D2528"/>
        </w:rPr>
        <w:fldChar w:fldCharType="begin"/>
      </w:r>
      <w:r w:rsidRPr="008D7F65">
        <w:rPr>
          <w:rFonts w:ascii="Arial" w:hAnsi="Arial" w:cs="Arial"/>
          <w:color w:val="1D2528"/>
        </w:rPr>
        <w:instrText xml:space="preserve"> HYPERLINK "http://www.varilux.com/fr" \o "www.varilux.com" \t "_blank" </w:instrText>
      </w:r>
      <w:r w:rsidRPr="008D7F65">
        <w:rPr>
          <w:rFonts w:ascii="Arial" w:hAnsi="Arial" w:cs="Arial"/>
          <w:color w:val="1D2528"/>
        </w:rPr>
        <w:fldChar w:fldCharType="separate"/>
      </w:r>
      <w:r w:rsidRPr="008D7F65">
        <w:rPr>
          <w:rFonts w:ascii="Arial" w:hAnsi="Arial" w:cs="Arial"/>
          <w:color w:val="0000FF"/>
          <w:u w:val="single"/>
        </w:rPr>
        <w:t>Varilux</w:t>
      </w:r>
      <w:r w:rsidRPr="008D7F65">
        <w:rPr>
          <w:rFonts w:ascii="Arial" w:hAnsi="Arial" w:cs="Arial"/>
          <w:color w:val="1D2528"/>
        </w:rPr>
        <w:fldChar w:fldCharType="end"/>
      </w:r>
      <w:bookmarkEnd w:id="0"/>
      <w:r w:rsidRPr="008D7F65">
        <w:rPr>
          <w:rFonts w:ascii="Arial" w:hAnsi="Arial" w:cs="Arial"/>
          <w:color w:val="1D2528"/>
        </w:rPr>
        <w:t xml:space="preserve">®, </w:t>
      </w:r>
      <w:bookmarkStart w:id="1" w:name="www.crizal.com"/>
      <w:r w:rsidRPr="008D7F65">
        <w:rPr>
          <w:rFonts w:ascii="Arial" w:hAnsi="Arial" w:cs="Arial"/>
          <w:color w:val="1D2528"/>
        </w:rPr>
        <w:fldChar w:fldCharType="begin"/>
      </w:r>
      <w:r w:rsidRPr="008D7F65">
        <w:rPr>
          <w:rFonts w:ascii="Arial" w:hAnsi="Arial" w:cs="Arial"/>
          <w:color w:val="1D2528"/>
        </w:rPr>
        <w:instrText xml:space="preserve"> HYPERLINK "http://www.crizal.com/FR/Pages/default.aspx" \o "www.crizal.com" \t "_blank" </w:instrText>
      </w:r>
      <w:r w:rsidRPr="008D7F65">
        <w:rPr>
          <w:rFonts w:ascii="Arial" w:hAnsi="Arial" w:cs="Arial"/>
          <w:color w:val="1D2528"/>
        </w:rPr>
        <w:fldChar w:fldCharType="separate"/>
      </w:r>
      <w:r w:rsidRPr="008D7F65">
        <w:rPr>
          <w:rFonts w:ascii="Arial" w:hAnsi="Arial" w:cs="Arial"/>
          <w:color w:val="0000FF"/>
          <w:u w:val="single"/>
        </w:rPr>
        <w:t>Crizal</w:t>
      </w:r>
      <w:r w:rsidRPr="008D7F65">
        <w:rPr>
          <w:rFonts w:ascii="Arial" w:hAnsi="Arial" w:cs="Arial"/>
          <w:color w:val="1D2528"/>
        </w:rPr>
        <w:fldChar w:fldCharType="end"/>
      </w:r>
      <w:bookmarkEnd w:id="1"/>
      <w:r w:rsidRPr="008D7F65">
        <w:rPr>
          <w:rFonts w:ascii="Arial" w:hAnsi="Arial" w:cs="Arial"/>
          <w:color w:val="1D2528"/>
        </w:rPr>
        <w:t xml:space="preserve">®, Definity®, </w:t>
      </w:r>
      <w:bookmarkStart w:id="2" w:name="www.xperio.com"/>
      <w:r w:rsidRPr="008D7F65">
        <w:rPr>
          <w:rFonts w:ascii="Arial" w:hAnsi="Arial" w:cs="Arial"/>
          <w:color w:val="1D2528"/>
        </w:rPr>
        <w:fldChar w:fldCharType="begin"/>
      </w:r>
      <w:r w:rsidRPr="008D7F65">
        <w:rPr>
          <w:rFonts w:ascii="Arial" w:hAnsi="Arial" w:cs="Arial"/>
          <w:color w:val="1D2528"/>
        </w:rPr>
        <w:instrText xml:space="preserve"> HYPERLINK "http://www.xperio.com/EN/Pages/default.aspx" \o "www.xperio.com" \t "_blank" </w:instrText>
      </w:r>
      <w:r w:rsidRPr="008D7F65">
        <w:rPr>
          <w:rFonts w:ascii="Arial" w:hAnsi="Arial" w:cs="Arial"/>
          <w:color w:val="1D2528"/>
        </w:rPr>
        <w:fldChar w:fldCharType="separate"/>
      </w:r>
      <w:r w:rsidRPr="008D7F65">
        <w:rPr>
          <w:rFonts w:ascii="Arial" w:hAnsi="Arial" w:cs="Arial"/>
          <w:color w:val="0000FF"/>
          <w:u w:val="single"/>
        </w:rPr>
        <w:t>Xperio</w:t>
      </w:r>
      <w:r w:rsidRPr="008D7F65">
        <w:rPr>
          <w:rFonts w:ascii="Arial" w:hAnsi="Arial" w:cs="Arial"/>
          <w:color w:val="1D2528"/>
        </w:rPr>
        <w:fldChar w:fldCharType="end"/>
      </w:r>
      <w:bookmarkEnd w:id="2"/>
      <w:r w:rsidRPr="008D7F65">
        <w:rPr>
          <w:rFonts w:ascii="Arial" w:hAnsi="Arial" w:cs="Arial"/>
          <w:color w:val="1D2528"/>
        </w:rPr>
        <w:t xml:space="preserve">®, </w:t>
      </w:r>
      <w:hyperlink r:id="rId13" w:tgtFrame="_blank" w:history="1">
        <w:r w:rsidRPr="008D7F65">
          <w:rPr>
            <w:rFonts w:ascii="Arial" w:hAnsi="Arial" w:cs="Arial"/>
            <w:color w:val="0000FF"/>
            <w:u w:val="single"/>
          </w:rPr>
          <w:t>Optifog</w:t>
        </w:r>
      </w:hyperlink>
      <w:r w:rsidRPr="008D7F65">
        <w:rPr>
          <w:rFonts w:ascii="Arial" w:hAnsi="Arial" w:cs="Arial"/>
          <w:color w:val="1D2528"/>
        </w:rPr>
        <w:t>™ et Foster Grant®. 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</w:tblGrid>
      <w:tr w:rsidR="0074016D" w:rsidTr="00C85E81">
        <w:tc>
          <w:tcPr>
            <w:tcW w:w="5671" w:type="dxa"/>
          </w:tcPr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43946C" wp14:editId="5CA1AD4D">
                  <wp:extent cx="3371850" cy="2362200"/>
                  <wp:effectExtent l="0" t="0" r="0" b="0"/>
                  <wp:docPr id="7" name="Image 7" descr="Chiffre d'affaires 2006 -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hiffre d'affaires 2006 -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B75F7">
              <w:rPr>
                <w:rFonts w:ascii="Arial" w:hAnsi="Arial" w:cs="Arial"/>
                <w:bCs/>
                <w:sz w:val="24"/>
                <w:szCs w:val="24"/>
              </w:rPr>
              <w:t>S’appuyant sur un modèle de croissance solide, Essilor affiche un chiffre d’affaires en progression régulière depuis 2005</w:t>
            </w:r>
            <w:r w:rsidRPr="00BB75F7">
              <w:rPr>
                <w:b/>
                <w:bCs/>
                <w:sz w:val="24"/>
                <w:szCs w:val="24"/>
              </w:rPr>
              <w:t>.</w:t>
            </w:r>
          </w:p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825A69" wp14:editId="40D33627">
                  <wp:extent cx="3238500" cy="2371725"/>
                  <wp:effectExtent l="0" t="0" r="0" b="0"/>
                  <wp:docPr id="5" name="Image 5" descr="Evolution de la Distribution globale de 2006 à 201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volution de la Distribution globale de 2006 à 201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75F7">
              <w:rPr>
                <w:rStyle w:val="lev"/>
                <w:rFonts w:ascii="Arial" w:hAnsi="Arial" w:cs="Arial"/>
                <w:b w:val="0"/>
                <w:sz w:val="24"/>
                <w:szCs w:val="24"/>
              </w:rPr>
              <w:t>Le groupe Essilor distribue à ses actionnaires un dividende en constante augmentation d’une année sur l’autre</w:t>
            </w:r>
          </w:p>
        </w:tc>
      </w:tr>
    </w:tbl>
    <w:p w:rsidR="0074016D" w:rsidRPr="008D7F65" w:rsidRDefault="0074016D" w:rsidP="0074016D">
      <w:pPr>
        <w:rPr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5361"/>
      </w:tblGrid>
      <w:tr w:rsidR="0074016D" w:rsidTr="00C85E81">
        <w:tc>
          <w:tcPr>
            <w:tcW w:w="5395" w:type="dxa"/>
          </w:tcPr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95675" cy="2038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</w:tcPr>
          <w:p w:rsidR="0074016D" w:rsidRPr="00BB75F7" w:rsidRDefault="0074016D" w:rsidP="00C85E8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67075" cy="19621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16D" w:rsidRPr="00BB75F7" w:rsidRDefault="0074016D" w:rsidP="00C85E8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Evolution du cours de bourse d’Essilor</w:t>
            </w:r>
          </w:p>
        </w:tc>
      </w:tr>
    </w:tbl>
    <w:p w:rsidR="0074016D" w:rsidRPr="008D7F65" w:rsidRDefault="0074016D" w:rsidP="0074016D">
      <w:pPr>
        <w:rPr>
          <w:sz w:val="16"/>
          <w:szCs w:val="16"/>
        </w:rPr>
      </w:pPr>
    </w:p>
    <w:p w:rsidR="0074016D" w:rsidRDefault="0074016D" w:rsidP="0074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 w:right="-568"/>
        <w:jc w:val="both"/>
      </w:pPr>
      <w:r w:rsidRPr="008D7F65">
        <w:rPr>
          <w:rFonts w:ascii="Arial" w:hAnsi="Arial" w:cs="Arial"/>
          <w:sz w:val="20"/>
          <w:szCs w:val="20"/>
        </w:rPr>
        <w:lastRenderedPageBreak/>
        <w:t xml:space="preserve">En mai, pour sa dernière, l'assemblée générale des actionnaires d'Essilor fait salle comble au palais des congrès de Paris. Une fois de plus, le leader mondial des </w:t>
      </w:r>
      <w:r w:rsidRPr="008D7F65">
        <w:rPr>
          <w:rStyle w:val="lev"/>
          <w:rFonts w:ascii="Arial" w:hAnsi="Arial" w:cs="Arial"/>
          <w:sz w:val="20"/>
          <w:szCs w:val="20"/>
        </w:rPr>
        <w:t>verres ophtalmiques</w:t>
      </w:r>
      <w:r w:rsidRPr="008D7F65">
        <w:rPr>
          <w:rFonts w:ascii="Arial" w:hAnsi="Arial" w:cs="Arial"/>
          <w:sz w:val="20"/>
          <w:szCs w:val="20"/>
        </w:rPr>
        <w:t xml:space="preserve"> prouve sa santé éclatante. Son chiffre d'affaires est en hausse de 7,7% à 4,2 milliards d'euros et les bénéfices progressent. Une tendance que devraient confirmer, le 31 août, les résultats semestriels.</w:t>
      </w:r>
      <w:r>
        <w:rPr>
          <w:rFonts w:ascii="Arial" w:hAnsi="Arial" w:cs="Arial"/>
          <w:sz w:val="20"/>
          <w:szCs w:val="20"/>
        </w:rPr>
        <w:t xml:space="preserve"> </w:t>
      </w:r>
      <w:r w:rsidRPr="008D7F65">
        <w:rPr>
          <w:rFonts w:ascii="Arial" w:hAnsi="Arial" w:cs="Arial"/>
          <w:sz w:val="20"/>
          <w:szCs w:val="20"/>
        </w:rPr>
        <w:t>Comment cette pépite du CAC 40 est-elle parvenue à gagner cinq points de part de marché dans le monde en trois ans et réaliser 31% des ventes en volume en 2011 ? La recette d'Essilor est infaillible. Ce bulldozer industriel et du marketing ne laisse aucune place à ses concurrents, ou presque. Menée à coups d'acquisitions depuis la fusion d'Essel et Silor en 1972, cette stratégie lui a permis d'atteindre une position « quasi déloyale » en France, déplore un concurrent. Essilor y détiendrait près de 75% du marché ! Hors de l'Hexagone, cette stratégie de rouleau compresseur se révèle aussi efficace. Ses deux principaux challengers, l'allemand Carl Zeiss (18% du marché mondial) et le japonais Hoya (13%), ont bien tenté de résister à son hégémonie. Mais leurs divisions verres ophtalmologiques sont trop modestes pour lutter à armes égales avec le français qui dispose de moyens colossaux. Une force de frappe qu'Essilor ne cesse de renforcer</w:t>
      </w:r>
      <w:r>
        <w:t>.</w:t>
      </w:r>
    </w:p>
    <w:p w:rsidR="0074016D" w:rsidRDefault="0074016D" w:rsidP="0074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 w:right="-568"/>
        <w:jc w:val="right"/>
        <w:rPr>
          <w:rFonts w:ascii="Arial" w:hAnsi="Arial" w:cs="Arial"/>
          <w:sz w:val="20"/>
          <w:szCs w:val="20"/>
        </w:rPr>
      </w:pPr>
      <w:r w:rsidRPr="008D7F65">
        <w:rPr>
          <w:rFonts w:ascii="Arial" w:hAnsi="Arial" w:cs="Arial"/>
          <w:sz w:val="20"/>
          <w:szCs w:val="20"/>
          <w:u w:val="single"/>
        </w:rPr>
        <w:t>Source</w:t>
      </w:r>
      <w:r w:rsidRPr="008D7F65">
        <w:rPr>
          <w:rFonts w:ascii="Arial" w:hAnsi="Arial" w:cs="Arial"/>
          <w:sz w:val="20"/>
          <w:szCs w:val="20"/>
        </w:rPr>
        <w:t> : Usine Nouvelle</w:t>
      </w:r>
    </w:p>
    <w:p w:rsidR="0074016D" w:rsidRPr="008D7F65" w:rsidRDefault="0074016D" w:rsidP="007401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 w:right="-568"/>
        <w:jc w:val="right"/>
        <w:rPr>
          <w:rFonts w:ascii="Arial" w:hAnsi="Arial" w:cs="Arial"/>
          <w:sz w:val="20"/>
          <w:szCs w:val="20"/>
        </w:rPr>
      </w:pPr>
    </w:p>
    <w:p w:rsidR="00D75B4F" w:rsidRDefault="00D75B4F" w:rsidP="0074016D">
      <w:pPr>
        <w:rPr>
          <w:sz w:val="24"/>
          <w:szCs w:val="24"/>
        </w:rPr>
      </w:pP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rPr>
          <w:rFonts w:ascii="Arial" w:hAnsi="Arial" w:cs="Arial"/>
          <w:b/>
          <w:sz w:val="24"/>
          <w:szCs w:val="24"/>
          <w:u w:val="single"/>
        </w:rPr>
      </w:pPr>
      <w:r w:rsidRPr="00BB75F7">
        <w:rPr>
          <w:rFonts w:ascii="Arial" w:hAnsi="Arial" w:cs="Arial"/>
          <w:b/>
          <w:sz w:val="24"/>
          <w:szCs w:val="24"/>
          <w:u w:val="single"/>
        </w:rPr>
        <w:t>T.A.F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rPr>
          <w:rFonts w:ascii="Arial" w:hAnsi="Arial" w:cs="Arial"/>
          <w:b/>
          <w:sz w:val="24"/>
          <w:szCs w:val="24"/>
          <w:u w:val="single"/>
        </w:rPr>
      </w:pP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1/ Rappeler à quoi correspond le chiffre d’affaires ?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2/ A combien s’est élevé le chiffre d’affaire d’Essilor en 2011 ?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3/ Commenter l’évolution du chiffre d’affaires d’Essilor entre 2006 et 2011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4/ Quelle est la part de marché d’ ESSILOR au niveau mondial ? En France ? quelle est la place occupée par ESSILOR sur son marché ?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5/ Rappeler a quoi correspond le résultat net d’une entreprise.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6/ A combien s’élève le résultat net d’Essilor en 2011 ?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7/ Commenter l’évolution du résultat net d’Essilor entre 2006 et 2011.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8/ Calculer le taux de profitabilité de l’année 2011 (Résultat net / Chiffre d’affaires x 100)</w:t>
      </w:r>
    </w:p>
    <w:p w:rsidR="0074016D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1C9545" wp14:editId="1B97331D">
            <wp:extent cx="474345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6D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sz w:val="24"/>
          <w:szCs w:val="24"/>
        </w:rPr>
      </w:pP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9/ Rédiger une phrase qui donne du sens au taux de profitabilité pour l’année 2011 :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10/ Combien aurait gagné un actionnaire le 01 mars 2013 qui aurait investi dans une action début 2006 qui valait 35 € ? (comptabiliser la plus value et les dividendes) en € et en %.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11/ Quel est part qui a été réservée à l’autofinancement en 2011 ? A quoi cela va-t-il servir ?</w:t>
      </w:r>
    </w:p>
    <w:p w:rsidR="0074016D" w:rsidRPr="00BB75F7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b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12/ Sachant que les capitaux et les emprunts d’Essilor s’élèvent à 4400 millions d’€ et que le résultat d’exploitation d’Essilor s’est élevé à 683 millions d’€ calculer la rentabilité économique d’Essilor (Résultat d’exploitation / Capitaux et Emprunt)</w:t>
      </w:r>
    </w:p>
    <w:p w:rsidR="0074016D" w:rsidRPr="0074016D" w:rsidRDefault="0074016D" w:rsidP="007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both"/>
        <w:rPr>
          <w:rFonts w:ascii="Arial" w:hAnsi="Arial" w:cs="Arial"/>
          <w:sz w:val="24"/>
          <w:szCs w:val="24"/>
        </w:rPr>
      </w:pPr>
      <w:r w:rsidRPr="00BB75F7">
        <w:rPr>
          <w:rFonts w:ascii="Arial" w:hAnsi="Arial" w:cs="Arial"/>
          <w:b/>
          <w:sz w:val="24"/>
          <w:szCs w:val="24"/>
        </w:rPr>
        <w:t>13/ Essilor est elle une entreprise performante ? Justifier votre réponse.</w:t>
      </w:r>
      <w:bookmarkStart w:id="3" w:name="_GoBack"/>
      <w:bookmarkEnd w:id="3"/>
    </w:p>
    <w:sectPr w:rsidR="0074016D" w:rsidRPr="0074016D" w:rsidSect="00A30E28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28" w:rsidRDefault="00A30E28" w:rsidP="00A30E28">
      <w:pPr>
        <w:spacing w:after="0" w:line="240" w:lineRule="auto"/>
      </w:pPr>
      <w:r>
        <w:separator/>
      </w:r>
    </w:p>
  </w:endnote>
  <w:endnote w:type="continuationSeparator" w:id="0">
    <w:p w:rsidR="00A30E28" w:rsidRDefault="00A30E28" w:rsidP="00A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28" w:rsidRDefault="00A30E28" w:rsidP="00A30E28">
      <w:pPr>
        <w:spacing w:after="0" w:line="240" w:lineRule="auto"/>
      </w:pPr>
      <w:r>
        <w:separator/>
      </w:r>
    </w:p>
  </w:footnote>
  <w:footnote w:type="continuationSeparator" w:id="0">
    <w:p w:rsidR="00A30E28" w:rsidRDefault="00A30E28" w:rsidP="00A3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2D14"/>
    <w:multiLevelType w:val="hybridMultilevel"/>
    <w:tmpl w:val="4140C28C"/>
    <w:lvl w:ilvl="0" w:tplc="05E0D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F"/>
    <w:rsid w:val="00034D91"/>
    <w:rsid w:val="000E15E1"/>
    <w:rsid w:val="001945BF"/>
    <w:rsid w:val="001E3E4A"/>
    <w:rsid w:val="00235E4B"/>
    <w:rsid w:val="002405D5"/>
    <w:rsid w:val="0026512E"/>
    <w:rsid w:val="003A2E16"/>
    <w:rsid w:val="003C4752"/>
    <w:rsid w:val="003F2A90"/>
    <w:rsid w:val="004B3C61"/>
    <w:rsid w:val="00530A5B"/>
    <w:rsid w:val="005E4696"/>
    <w:rsid w:val="00630CCF"/>
    <w:rsid w:val="00672A3A"/>
    <w:rsid w:val="00696F23"/>
    <w:rsid w:val="0074016D"/>
    <w:rsid w:val="00765850"/>
    <w:rsid w:val="0077762D"/>
    <w:rsid w:val="007A29D1"/>
    <w:rsid w:val="007E622F"/>
    <w:rsid w:val="008D5D35"/>
    <w:rsid w:val="00911DBB"/>
    <w:rsid w:val="009308F5"/>
    <w:rsid w:val="00985B0B"/>
    <w:rsid w:val="009B77BD"/>
    <w:rsid w:val="00A13991"/>
    <w:rsid w:val="00A30E28"/>
    <w:rsid w:val="00A43321"/>
    <w:rsid w:val="00B06366"/>
    <w:rsid w:val="00C10266"/>
    <w:rsid w:val="00C47870"/>
    <w:rsid w:val="00C80113"/>
    <w:rsid w:val="00D75B4F"/>
    <w:rsid w:val="00E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A30E28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30E28"/>
    <w:rPr>
      <w:rFonts w:ascii="Arial" w:eastAsia="Times New Roman" w:hAnsi="Arial" w:cs="Times New Roman"/>
      <w:b/>
      <w:bCs/>
      <w:sz w:val="32"/>
      <w:szCs w:val="32"/>
    </w:rPr>
  </w:style>
  <w:style w:type="paragraph" w:styleId="En-tte">
    <w:name w:val="header"/>
    <w:basedOn w:val="Normal"/>
    <w:link w:val="En-tteCar"/>
    <w:unhideWhenUsed/>
    <w:rsid w:val="00A3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0E28"/>
  </w:style>
  <w:style w:type="paragraph" w:styleId="Pieddepage">
    <w:name w:val="footer"/>
    <w:basedOn w:val="Normal"/>
    <w:link w:val="PieddepageCar"/>
    <w:uiPriority w:val="99"/>
    <w:semiHidden/>
    <w:unhideWhenUsed/>
    <w:rsid w:val="00A3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0E28"/>
  </w:style>
  <w:style w:type="paragraph" w:styleId="NormalWeb">
    <w:name w:val="Normal (Web)"/>
    <w:basedOn w:val="Normal"/>
    <w:uiPriority w:val="99"/>
    <w:rsid w:val="0074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4016D"/>
    <w:rPr>
      <w:b/>
      <w:bCs/>
    </w:rPr>
  </w:style>
  <w:style w:type="character" w:customStyle="1" w:styleId="maintexte">
    <w:name w:val="main_texte"/>
    <w:basedOn w:val="Policepardfaut"/>
    <w:rsid w:val="0074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A30E28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B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30E28"/>
    <w:rPr>
      <w:rFonts w:ascii="Arial" w:eastAsia="Times New Roman" w:hAnsi="Arial" w:cs="Times New Roman"/>
      <w:b/>
      <w:bCs/>
      <w:sz w:val="32"/>
      <w:szCs w:val="32"/>
    </w:rPr>
  </w:style>
  <w:style w:type="paragraph" w:styleId="En-tte">
    <w:name w:val="header"/>
    <w:basedOn w:val="Normal"/>
    <w:link w:val="En-tteCar"/>
    <w:unhideWhenUsed/>
    <w:rsid w:val="00A3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0E28"/>
  </w:style>
  <w:style w:type="paragraph" w:styleId="Pieddepage">
    <w:name w:val="footer"/>
    <w:basedOn w:val="Normal"/>
    <w:link w:val="PieddepageCar"/>
    <w:uiPriority w:val="99"/>
    <w:semiHidden/>
    <w:unhideWhenUsed/>
    <w:rsid w:val="00A3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0E28"/>
  </w:style>
  <w:style w:type="paragraph" w:styleId="NormalWeb">
    <w:name w:val="Normal (Web)"/>
    <w:basedOn w:val="Normal"/>
    <w:uiPriority w:val="99"/>
    <w:rsid w:val="0074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4016D"/>
    <w:rPr>
      <w:b/>
      <w:bCs/>
    </w:rPr>
  </w:style>
  <w:style w:type="character" w:customStyle="1" w:styleId="maintexte">
    <w:name w:val="main_texte"/>
    <w:basedOn w:val="Policepardfaut"/>
    <w:rsid w:val="0074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tifog.com/FR/Pages/default.aspx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4A18-4375-4AB6-8EA0-193606BE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roustan</cp:lastModifiedBy>
  <cp:revision>2</cp:revision>
  <cp:lastPrinted>2014-09-11T09:15:00Z</cp:lastPrinted>
  <dcterms:created xsi:type="dcterms:W3CDTF">2014-09-11T10:13:00Z</dcterms:created>
  <dcterms:modified xsi:type="dcterms:W3CDTF">2014-09-11T10:13:00Z</dcterms:modified>
</cp:coreProperties>
</file>